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8B6B5">
      <w:pPr>
        <w:suppressAutoHyphens/>
        <w:snapToGrid w:val="0"/>
        <w:spacing w:line="560" w:lineRule="exact"/>
        <w:jc w:val="both"/>
        <w:rPr>
          <w:rFonts w:hint="eastAsia" w:ascii="黑体" w:hAnsi="黑体" w:eastAsia="黑体"/>
          <w:kern w:val="0"/>
          <w:sz w:val="32"/>
          <w:szCs w:val="32"/>
          <w:lang w:eastAsia="zh-CN"/>
        </w:rPr>
      </w:pPr>
      <w:bookmarkStart w:id="0" w:name="_GoBack"/>
      <w:bookmarkEnd w:id="0"/>
    </w:p>
    <w:p w14:paraId="5BFBCEF5">
      <w:pPr>
        <w:suppressAutoHyphens/>
        <w:snapToGrid w:val="0"/>
        <w:spacing w:line="560" w:lineRule="exact"/>
        <w:jc w:val="both"/>
        <w:rPr>
          <w:rFonts w:ascii="黑体" w:hAnsi="黑体" w:eastAsia="黑体"/>
          <w:kern w:val="0"/>
          <w:sz w:val="32"/>
          <w:szCs w:val="32"/>
        </w:rPr>
      </w:pPr>
    </w:p>
    <w:p w14:paraId="31EF2CAB">
      <w:pPr>
        <w:suppressAutoHyphens/>
        <w:snapToGrid w:val="0"/>
        <w:spacing w:line="560" w:lineRule="exact"/>
        <w:jc w:val="center"/>
        <w:rPr>
          <w:rFonts w:hint="eastAsia" w:ascii="方正小标宋简体" w:hAnsi="方正小标宋简体" w:eastAsia="方正小标宋简体" w:cs="方正小标宋简体"/>
          <w:b w:val="0"/>
          <w:bCs/>
          <w:sz w:val="48"/>
          <w:szCs w:val="32"/>
        </w:rPr>
      </w:pPr>
      <w:r>
        <w:rPr>
          <w:rFonts w:hint="eastAsia" w:ascii="方正小标宋简体" w:hAnsi="方正小标宋简体" w:eastAsia="方正小标宋简体" w:cs="方正小标宋简体"/>
          <w:b w:val="0"/>
          <w:bCs/>
          <w:sz w:val="48"/>
          <w:szCs w:val="32"/>
          <w:lang w:val="en-US" w:eastAsia="zh-CN"/>
        </w:rPr>
        <w:t>河北省大学生</w:t>
      </w:r>
      <w:r>
        <w:rPr>
          <w:rFonts w:hint="eastAsia" w:ascii="方正小标宋简体" w:hAnsi="方正小标宋简体" w:eastAsia="方正小标宋简体" w:cs="方正小标宋简体"/>
          <w:b w:val="0"/>
          <w:bCs/>
          <w:sz w:val="48"/>
          <w:szCs w:val="32"/>
        </w:rPr>
        <w:t>职业生涯发展教育</w:t>
      </w:r>
    </w:p>
    <w:p w14:paraId="07D547FA">
      <w:pPr>
        <w:suppressAutoHyphens/>
        <w:snapToGrid w:val="0"/>
        <w:spacing w:line="560" w:lineRule="exact"/>
        <w:jc w:val="center"/>
        <w:rPr>
          <w:rFonts w:hint="eastAsia" w:ascii="方正小标宋简体" w:hAnsi="方正小标宋简体" w:eastAsia="方正小标宋简体" w:cs="方正小标宋简体"/>
          <w:b w:val="0"/>
          <w:bCs/>
          <w:sz w:val="48"/>
          <w:szCs w:val="32"/>
        </w:rPr>
      </w:pPr>
      <w:r>
        <w:rPr>
          <w:rFonts w:hint="eastAsia" w:ascii="方正小标宋简体" w:hAnsi="方正小标宋简体" w:eastAsia="方正小标宋简体" w:cs="方正小标宋简体"/>
          <w:b w:val="0"/>
          <w:bCs/>
          <w:sz w:val="48"/>
          <w:szCs w:val="32"/>
          <w:lang w:val="en-US" w:eastAsia="zh-CN"/>
        </w:rPr>
        <w:t>与就业指导</w:t>
      </w:r>
      <w:r>
        <w:rPr>
          <w:rFonts w:hint="eastAsia" w:ascii="方正小标宋简体" w:hAnsi="方正小标宋简体" w:eastAsia="方正小标宋简体" w:cs="方正小标宋简体"/>
          <w:b w:val="0"/>
          <w:bCs/>
          <w:sz w:val="48"/>
          <w:szCs w:val="32"/>
        </w:rPr>
        <w:t>特色校本教材</w:t>
      </w:r>
    </w:p>
    <w:p w14:paraId="09D3FF61">
      <w:pPr>
        <w:suppressAutoHyphens/>
        <w:snapToGrid w:val="0"/>
        <w:spacing w:line="560" w:lineRule="exact"/>
        <w:jc w:val="center"/>
        <w:rPr>
          <w:rFonts w:hint="eastAsia" w:ascii="方正小标宋简体" w:hAnsi="方正小标宋简体" w:eastAsia="方正小标宋简体" w:cs="方正小标宋简体"/>
          <w:b/>
          <w:sz w:val="44"/>
        </w:rPr>
      </w:pPr>
    </w:p>
    <w:p w14:paraId="3641C21C">
      <w:pPr>
        <w:suppressAutoHyphens/>
        <w:snapToGrid w:val="0"/>
        <w:spacing w:line="560" w:lineRule="exact"/>
        <w:jc w:val="center"/>
        <w:rPr>
          <w:rFonts w:hint="eastAsia" w:ascii="方正小标宋简体" w:hAnsi="方正小标宋简体" w:eastAsia="方正小标宋简体" w:cs="方正小标宋简体"/>
          <w:b/>
          <w:sz w:val="44"/>
        </w:rPr>
      </w:pPr>
    </w:p>
    <w:p w14:paraId="7866E788">
      <w:pPr>
        <w:suppressAutoHyphens/>
        <w:snapToGrid w:val="0"/>
        <w:spacing w:line="560" w:lineRule="exact"/>
        <w:jc w:val="center"/>
        <w:rPr>
          <w:rFonts w:hint="eastAsia" w:ascii="方正小标宋简体" w:hAnsi="方正小标宋简体" w:eastAsia="方正小标宋简体" w:cs="方正小标宋简体"/>
          <w:b/>
          <w:sz w:val="44"/>
        </w:rPr>
      </w:pPr>
    </w:p>
    <w:p w14:paraId="1CB2ADCE">
      <w:pPr>
        <w:suppressAutoHyphens/>
        <w:snapToGrid w:val="0"/>
        <w:spacing w:line="560" w:lineRule="exact"/>
        <w:jc w:val="center"/>
        <w:rPr>
          <w:rFonts w:hint="eastAsia" w:ascii="方正小标宋简体" w:hAnsi="方正小标宋简体" w:eastAsia="方正小标宋简体" w:cs="方正小标宋简体"/>
          <w:b/>
          <w:sz w:val="44"/>
        </w:rPr>
      </w:pPr>
    </w:p>
    <w:p w14:paraId="6BA2716D">
      <w:pPr>
        <w:keepNext w:val="0"/>
        <w:keepLines w:val="0"/>
        <w:pageBreakBefore w:val="0"/>
        <w:widowControl w:val="0"/>
        <w:suppressAutoHyphens/>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sz w:val="72"/>
          <w:szCs w:val="48"/>
        </w:rPr>
      </w:pPr>
      <w:r>
        <w:rPr>
          <w:rFonts w:hint="eastAsia" w:ascii="方正小标宋简体" w:hAnsi="方正小标宋简体" w:eastAsia="方正小标宋简体" w:cs="方正小标宋简体"/>
          <w:b w:val="0"/>
          <w:bCs/>
          <w:sz w:val="72"/>
          <w:szCs w:val="48"/>
        </w:rPr>
        <w:t>申</w:t>
      </w:r>
    </w:p>
    <w:p w14:paraId="643A9A1D">
      <w:pPr>
        <w:keepNext w:val="0"/>
        <w:keepLines w:val="0"/>
        <w:pageBreakBefore w:val="0"/>
        <w:widowControl w:val="0"/>
        <w:suppressAutoHyphens/>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sz w:val="72"/>
          <w:szCs w:val="48"/>
        </w:rPr>
      </w:pPr>
      <w:r>
        <w:rPr>
          <w:rFonts w:hint="eastAsia" w:ascii="方正小标宋简体" w:hAnsi="方正小标宋简体" w:eastAsia="方正小标宋简体" w:cs="方正小标宋简体"/>
          <w:b w:val="0"/>
          <w:bCs/>
          <w:sz w:val="72"/>
          <w:szCs w:val="48"/>
        </w:rPr>
        <w:t>报</w:t>
      </w:r>
    </w:p>
    <w:p w14:paraId="5F1D3B08">
      <w:pPr>
        <w:keepNext w:val="0"/>
        <w:keepLines w:val="0"/>
        <w:pageBreakBefore w:val="0"/>
        <w:widowControl w:val="0"/>
        <w:suppressAutoHyphens/>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8"/>
          <w:szCs w:val="52"/>
        </w:rPr>
      </w:pPr>
      <w:r>
        <w:rPr>
          <w:rFonts w:hint="eastAsia" w:ascii="方正小标宋简体" w:hAnsi="方正小标宋简体" w:eastAsia="方正小标宋简体" w:cs="方正小标宋简体"/>
          <w:b w:val="0"/>
          <w:bCs/>
          <w:sz w:val="72"/>
          <w:szCs w:val="48"/>
        </w:rPr>
        <w:t>书</w:t>
      </w:r>
    </w:p>
    <w:p w14:paraId="1C39BEDD">
      <w:pPr>
        <w:suppressAutoHyphens/>
        <w:snapToGrid w:val="0"/>
        <w:spacing w:line="560" w:lineRule="exact"/>
        <w:jc w:val="center"/>
        <w:rPr>
          <w:rFonts w:hint="eastAsia" w:ascii="微软雅黑" w:hAnsi="Calibri" w:eastAsia="微软雅黑"/>
          <w:b/>
          <w:sz w:val="44"/>
        </w:rPr>
      </w:pPr>
    </w:p>
    <w:p w14:paraId="4945F9AB">
      <w:pPr>
        <w:suppressAutoHyphens/>
        <w:snapToGrid w:val="0"/>
        <w:spacing w:line="560" w:lineRule="exact"/>
        <w:rPr>
          <w:rFonts w:hint="eastAsia" w:ascii="仿宋_GB2312" w:hAnsi="Calibri" w:eastAsia="仿宋_GB2312"/>
          <w:sz w:val="36"/>
          <w:szCs w:val="20"/>
        </w:rPr>
      </w:pPr>
    </w:p>
    <w:p w14:paraId="10C8A02E">
      <w:pPr>
        <w:suppressAutoHyphens/>
        <w:snapToGrid w:val="0"/>
        <w:spacing w:line="560" w:lineRule="exact"/>
        <w:rPr>
          <w:rFonts w:hint="eastAsia" w:ascii="仿宋_GB2312" w:hAnsi="Calibri" w:eastAsia="仿宋_GB2312"/>
          <w:sz w:val="36"/>
          <w:szCs w:val="20"/>
        </w:rPr>
      </w:pPr>
    </w:p>
    <w:p w14:paraId="5F8A53DB">
      <w:pPr>
        <w:suppressAutoHyphens/>
        <w:snapToGrid w:val="0"/>
        <w:spacing w:line="560" w:lineRule="exact"/>
        <w:rPr>
          <w:rFonts w:hint="eastAsia" w:ascii="仿宋_GB2312" w:hAnsi="Calibri" w:eastAsia="仿宋_GB2312"/>
          <w:sz w:val="36"/>
          <w:szCs w:val="20"/>
        </w:rPr>
      </w:pPr>
    </w:p>
    <w:p w14:paraId="07BF59F9">
      <w:pPr>
        <w:suppressAutoHyphens/>
        <w:snapToGrid w:val="0"/>
        <w:spacing w:line="560" w:lineRule="exact"/>
        <w:ind w:firstLine="720" w:firstLineChars="200"/>
        <w:rPr>
          <w:rFonts w:hint="eastAsia" w:ascii="仿宋_GB2312" w:hAnsi="Calibri" w:eastAsia="仿宋_GB2312"/>
          <w:sz w:val="36"/>
          <w:szCs w:val="20"/>
          <w:u w:val="single"/>
        </w:rPr>
      </w:pPr>
      <w:r>
        <w:rPr>
          <w:rFonts w:hint="eastAsia" w:ascii="仿宋_GB2312" w:hAnsi="Calibri" w:eastAsia="仿宋_GB2312"/>
          <w:sz w:val="36"/>
          <w:szCs w:val="20"/>
        </w:rPr>
        <w:t>教</w:t>
      </w:r>
      <w:r>
        <w:rPr>
          <w:rFonts w:hint="eastAsia" w:ascii="仿宋_GB2312" w:hAnsi="Calibri" w:eastAsia="仿宋_GB2312"/>
          <w:sz w:val="36"/>
          <w:szCs w:val="36"/>
        </w:rPr>
        <w:t>材名称：</w:t>
      </w:r>
      <w:r>
        <w:rPr>
          <w:rFonts w:hint="eastAsia" w:ascii="仿宋_GB2312" w:hAnsi="Calibri" w:eastAsia="仿宋_GB2312"/>
          <w:sz w:val="36"/>
          <w:szCs w:val="20"/>
          <w:u w:val="single"/>
        </w:rPr>
        <w:t>《筑梦青春 职引未来——新时代</w:t>
      </w:r>
    </w:p>
    <w:p w14:paraId="05A9222F">
      <w:pPr>
        <w:suppressAutoHyphens/>
        <w:snapToGrid w:val="0"/>
        <w:spacing w:line="560" w:lineRule="exact"/>
        <w:ind w:firstLine="2520" w:firstLineChars="700"/>
        <w:rPr>
          <w:rFonts w:hint="eastAsia" w:ascii="仿宋_GB2312" w:hAnsi="Calibri" w:eastAsia="仿宋_GB2312"/>
          <w:sz w:val="36"/>
          <w:szCs w:val="36"/>
          <w:u w:val="single"/>
          <w:lang w:eastAsia="zh-CN"/>
        </w:rPr>
      </w:pPr>
      <w:r>
        <w:rPr>
          <w:rFonts w:hint="eastAsia" w:ascii="仿宋_GB2312" w:hAnsi="Calibri" w:eastAsia="仿宋_GB2312"/>
          <w:sz w:val="36"/>
          <w:szCs w:val="20"/>
          <w:u w:val="single"/>
        </w:rPr>
        <w:t>大学生职业生涯规划与就业指导</w:t>
      </w:r>
      <w:r>
        <w:rPr>
          <w:rFonts w:hint="eastAsia" w:ascii="仿宋_GB2312" w:hAnsi="Calibri" w:eastAsia="仿宋_GB2312"/>
          <w:sz w:val="36"/>
          <w:szCs w:val="20"/>
          <w:u w:val="single"/>
          <w:lang w:eastAsia="zh-CN"/>
        </w:rPr>
        <w:t>》</w:t>
      </w:r>
    </w:p>
    <w:p w14:paraId="0A29DE37">
      <w:pPr>
        <w:suppressAutoHyphens/>
        <w:snapToGrid w:val="0"/>
        <w:spacing w:line="560" w:lineRule="exact"/>
        <w:ind w:firstLine="720" w:firstLineChars="200"/>
        <w:rPr>
          <w:rFonts w:ascii="仿宋_GB2312" w:hAnsi="Calibri" w:eastAsia="仿宋_GB2312"/>
          <w:sz w:val="36"/>
          <w:szCs w:val="36"/>
          <w:u w:val="single"/>
        </w:rPr>
      </w:pPr>
      <w:r>
        <w:rPr>
          <w:rFonts w:hint="eastAsia" w:ascii="仿宋_GB2312" w:hAnsi="Calibri" w:eastAsia="仿宋_GB2312"/>
          <w:sz w:val="36"/>
          <w:szCs w:val="36"/>
        </w:rPr>
        <w:t>主编姓名：</w:t>
      </w:r>
      <w:r>
        <w:rPr>
          <w:rFonts w:hint="eastAsia" w:ascii="仿宋_GB2312" w:hAnsi="Calibri" w:eastAsia="仿宋_GB2312"/>
          <w:sz w:val="36"/>
          <w:szCs w:val="36"/>
          <w:u w:val="single"/>
        </w:rPr>
        <w:t xml:space="preserve">        </w:t>
      </w:r>
      <w:r>
        <w:rPr>
          <w:rFonts w:hint="eastAsia" w:ascii="仿宋_GB2312" w:hAnsi="Calibri" w:eastAsia="仿宋_GB2312"/>
          <w:sz w:val="36"/>
          <w:szCs w:val="36"/>
          <w:u w:val="single"/>
          <w:lang w:val="en-US" w:eastAsia="zh-CN"/>
        </w:rPr>
        <w:t xml:space="preserve">    </w:t>
      </w:r>
      <w:r>
        <w:rPr>
          <w:rFonts w:hint="eastAsia" w:ascii="仿宋_GB2312" w:hAnsi="Calibri" w:eastAsia="仿宋_GB2312"/>
          <w:sz w:val="36"/>
          <w:szCs w:val="36"/>
          <w:u w:val="single"/>
          <w:lang w:eastAsia="zh-CN"/>
        </w:rPr>
        <w:t>黄卓</w:t>
      </w:r>
      <w:r>
        <w:rPr>
          <w:rFonts w:hint="eastAsia" w:ascii="仿宋_GB2312" w:hAnsi="Calibri" w:eastAsia="仿宋_GB2312"/>
          <w:sz w:val="36"/>
          <w:szCs w:val="36"/>
          <w:u w:val="single"/>
        </w:rPr>
        <w:t xml:space="preserve">              </w:t>
      </w:r>
    </w:p>
    <w:p w14:paraId="7D352B94">
      <w:pPr>
        <w:suppressAutoHyphens/>
        <w:snapToGrid w:val="0"/>
        <w:spacing w:line="560" w:lineRule="exact"/>
        <w:ind w:firstLine="720" w:firstLineChars="200"/>
        <w:rPr>
          <w:rFonts w:hint="default" w:ascii="仿宋_GB2312" w:hAnsi="Calibri" w:eastAsia="仿宋_GB2312"/>
          <w:sz w:val="36"/>
          <w:szCs w:val="36"/>
          <w:lang w:val="en-US" w:eastAsia="zh-CN"/>
        </w:rPr>
      </w:pPr>
      <w:r>
        <w:rPr>
          <w:rFonts w:hint="eastAsia" w:ascii="仿宋_GB2312" w:hAnsi="Calibri" w:eastAsia="仿宋_GB2312"/>
          <w:sz w:val="36"/>
          <w:szCs w:val="36"/>
        </w:rPr>
        <w:t>出版单位：</w:t>
      </w:r>
      <w:r>
        <w:rPr>
          <w:rFonts w:hint="eastAsia" w:ascii="仿宋_GB2312" w:hAnsi="Calibri" w:eastAsia="仿宋_GB2312"/>
          <w:sz w:val="36"/>
          <w:szCs w:val="36"/>
          <w:u w:val="single"/>
        </w:rPr>
        <w:t xml:space="preserve">      </w:t>
      </w:r>
      <w:r>
        <w:rPr>
          <w:rFonts w:hint="eastAsia" w:ascii="仿宋_GB2312" w:hAnsi="Calibri" w:eastAsia="仿宋_GB2312"/>
          <w:sz w:val="36"/>
          <w:szCs w:val="36"/>
          <w:u w:val="single"/>
          <w:lang w:val="en-US" w:eastAsia="zh-CN"/>
        </w:rPr>
        <w:t>中国传媒出版社</w:t>
      </w:r>
      <w:r>
        <w:rPr>
          <w:rFonts w:hint="eastAsia" w:ascii="仿宋_GB2312" w:hAnsi="Calibri" w:eastAsia="仿宋_GB2312"/>
          <w:sz w:val="36"/>
          <w:szCs w:val="36"/>
          <w:u w:val="single"/>
        </w:rPr>
        <w:t xml:space="preserve">         </w:t>
      </w:r>
      <w:r>
        <w:rPr>
          <w:rFonts w:hint="eastAsia" w:ascii="仿宋_GB2312" w:hAnsi="Calibri" w:eastAsia="仿宋_GB2312"/>
          <w:sz w:val="36"/>
          <w:szCs w:val="36"/>
          <w:u w:val="single"/>
          <w:lang w:val="en-US" w:eastAsia="zh-CN"/>
        </w:rPr>
        <w:t xml:space="preserve"> </w:t>
      </w:r>
    </w:p>
    <w:p w14:paraId="27075C84">
      <w:pPr>
        <w:suppressAutoHyphens/>
        <w:snapToGrid w:val="0"/>
        <w:spacing w:line="560" w:lineRule="exact"/>
        <w:ind w:firstLine="720" w:firstLineChars="200"/>
        <w:rPr>
          <w:rFonts w:hint="eastAsia" w:ascii="Calibri" w:hAnsi="Calibri" w:eastAsia="仿宋_GB2312"/>
          <w:sz w:val="36"/>
          <w:szCs w:val="36"/>
          <w:lang w:val="en-US" w:eastAsia="zh-CN"/>
        </w:rPr>
      </w:pPr>
      <w:r>
        <w:rPr>
          <w:rFonts w:hint="eastAsia" w:ascii="仿宋_GB2312" w:hAnsi="Calibri" w:eastAsia="仿宋_GB2312"/>
          <w:sz w:val="36"/>
          <w:szCs w:val="36"/>
          <w:lang w:val="en-US" w:eastAsia="zh-CN"/>
        </w:rPr>
        <w:t>申报</w:t>
      </w:r>
      <w:r>
        <w:rPr>
          <w:rFonts w:hint="eastAsia" w:ascii="仿宋_GB2312" w:hAnsi="Calibri" w:eastAsia="仿宋_GB2312"/>
          <w:sz w:val="36"/>
          <w:szCs w:val="36"/>
        </w:rPr>
        <w:t>单位：</w:t>
      </w:r>
      <w:r>
        <w:rPr>
          <w:rFonts w:hint="eastAsia" w:ascii="仿宋_GB2312" w:hAnsi="Calibri" w:eastAsia="仿宋_GB2312"/>
          <w:sz w:val="36"/>
          <w:szCs w:val="36"/>
          <w:u w:val="single"/>
        </w:rPr>
        <w:t xml:space="preserve">      </w:t>
      </w:r>
      <w:r>
        <w:rPr>
          <w:rFonts w:hint="eastAsia" w:ascii="仿宋_GB2312" w:hAnsi="Calibri" w:eastAsia="仿宋_GB2312"/>
          <w:sz w:val="36"/>
          <w:szCs w:val="36"/>
          <w:u w:val="single"/>
          <w:lang w:val="en-US" w:eastAsia="zh-CN"/>
        </w:rPr>
        <w:t xml:space="preserve"> </w:t>
      </w:r>
      <w:r>
        <w:rPr>
          <w:rFonts w:hint="eastAsia" w:ascii="仿宋_GB2312" w:hAnsi="Calibri" w:eastAsia="仿宋_GB2312"/>
          <w:sz w:val="36"/>
          <w:szCs w:val="36"/>
          <w:u w:val="single"/>
          <w:lang w:eastAsia="zh-CN"/>
        </w:rPr>
        <w:t>保定理工学院</w:t>
      </w:r>
      <w:r>
        <w:rPr>
          <w:rFonts w:hint="eastAsia" w:ascii="仿宋_GB2312" w:hAnsi="Calibri" w:eastAsia="仿宋_GB2312"/>
          <w:sz w:val="36"/>
          <w:szCs w:val="36"/>
          <w:u w:val="single"/>
        </w:rPr>
        <w:t xml:space="preserve"> </w:t>
      </w:r>
      <w:r>
        <w:rPr>
          <w:rFonts w:ascii="仿宋_GB2312" w:hAnsi="Calibri" w:eastAsia="仿宋_GB2312"/>
          <w:sz w:val="36"/>
          <w:szCs w:val="36"/>
          <w:u w:val="single"/>
        </w:rPr>
        <w:t xml:space="preserve">        </w:t>
      </w:r>
      <w:r>
        <w:rPr>
          <w:rFonts w:hint="eastAsia" w:ascii="仿宋_GB2312" w:hAnsi="Calibri" w:eastAsia="仿宋_GB2312"/>
          <w:sz w:val="36"/>
          <w:szCs w:val="36"/>
          <w:u w:val="single"/>
        </w:rPr>
        <w:t xml:space="preserve">  </w:t>
      </w:r>
    </w:p>
    <w:p w14:paraId="621D1829">
      <w:pPr>
        <w:suppressAutoHyphens/>
        <w:spacing w:line="560" w:lineRule="exact"/>
        <w:ind w:firstLine="720" w:firstLineChars="200"/>
        <w:rPr>
          <w:rFonts w:hint="eastAsia" w:ascii="仿宋_GB2312" w:hAnsi="Calibri" w:eastAsia="仿宋_GB2312"/>
          <w:sz w:val="36"/>
          <w:szCs w:val="36"/>
          <w:u w:val="single"/>
          <w:lang w:val="en-US" w:eastAsia="zh-CN"/>
        </w:rPr>
        <w:sectPr>
          <w:pgSz w:w="11906" w:h="16838"/>
          <w:pgMar w:top="1440" w:right="1800" w:bottom="1440" w:left="1800" w:header="720" w:footer="720" w:gutter="0"/>
          <w:pgNumType w:fmt="decimal"/>
          <w:cols w:space="720" w:num="1"/>
          <w:docGrid w:type="lines" w:linePitch="312" w:charSpace="0"/>
        </w:sectPr>
      </w:pPr>
      <w:r>
        <w:rPr>
          <w:rFonts w:hint="eastAsia" w:ascii="仿宋_GB2312" w:hAnsi="Calibri" w:eastAsia="仿宋_GB2312"/>
          <w:sz w:val="36"/>
          <w:szCs w:val="36"/>
        </w:rPr>
        <w:t>申报日期：</w:t>
      </w:r>
      <w:r>
        <w:rPr>
          <w:rFonts w:hint="eastAsia" w:ascii="仿宋_GB2312" w:hAnsi="Calibri" w:eastAsia="仿宋_GB2312"/>
          <w:sz w:val="36"/>
          <w:szCs w:val="36"/>
          <w:u w:val="single"/>
        </w:rPr>
        <w:t xml:space="preserve">      </w:t>
      </w:r>
      <w:r>
        <w:rPr>
          <w:rFonts w:hint="eastAsia" w:ascii="仿宋_GB2312" w:hAnsi="Calibri" w:eastAsia="仿宋_GB2312"/>
          <w:sz w:val="36"/>
          <w:szCs w:val="36"/>
          <w:u w:val="single"/>
          <w:lang w:val="en-US" w:eastAsia="zh-CN"/>
        </w:rPr>
        <w:t>2025年10月13日</w:t>
      </w:r>
      <w:r>
        <w:rPr>
          <w:rFonts w:hint="eastAsia" w:ascii="仿宋_GB2312" w:hAnsi="Calibri" w:eastAsia="仿宋_GB2312"/>
          <w:sz w:val="36"/>
          <w:szCs w:val="36"/>
          <w:u w:val="single"/>
        </w:rPr>
        <w:t xml:space="preserve">      </w:t>
      </w:r>
      <w:r>
        <w:rPr>
          <w:rFonts w:hint="eastAsia" w:ascii="仿宋_GB2312" w:hAnsi="Calibri" w:eastAsia="仿宋_GB2312"/>
          <w:sz w:val="36"/>
          <w:szCs w:val="36"/>
          <w:u w:val="single"/>
          <w:lang w:val="en-US" w:eastAsia="zh-CN"/>
        </w:rPr>
        <w:t xml:space="preserve"> </w:t>
      </w:r>
      <w:r>
        <w:rPr>
          <w:rFonts w:hint="eastAsia" w:ascii="仿宋_GB2312" w:hAnsi="Calibri" w:eastAsia="仿宋_GB2312"/>
          <w:sz w:val="36"/>
          <w:szCs w:val="36"/>
          <w:u w:val="single"/>
        </w:rPr>
        <w:t xml:space="preserve"> </w:t>
      </w:r>
    </w:p>
    <w:p w14:paraId="34F5A276">
      <w:pPr>
        <w:suppressAutoHyphens/>
        <w:spacing w:line="560" w:lineRule="exact"/>
        <w:jc w:val="left"/>
        <w:rPr>
          <w:rFonts w:hint="eastAsia" w:ascii="黑体" w:hAnsi="黑体" w:eastAsia="黑体"/>
          <w:sz w:val="32"/>
          <w:szCs w:val="32"/>
        </w:rPr>
      </w:pPr>
      <w:r>
        <w:rPr>
          <w:rFonts w:hint="eastAsia" w:ascii="黑体" w:hAnsi="黑体" w:eastAsia="黑体"/>
          <w:sz w:val="32"/>
          <w:szCs w:val="32"/>
        </w:rPr>
        <w:t>一、基本情况</w:t>
      </w:r>
    </w:p>
    <w:tbl>
      <w:tblPr>
        <w:tblStyle w:val="4"/>
        <w:tblW w:w="82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5"/>
        <w:gridCol w:w="2647"/>
        <w:gridCol w:w="1614"/>
        <w:gridCol w:w="2431"/>
      </w:tblGrid>
      <w:tr w14:paraId="4A08CD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8" w:hRule="exac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EC612A1">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sz w:val="18"/>
                <w:szCs w:val="18"/>
              </w:rPr>
            </w:pPr>
            <w:r>
              <w:rPr>
                <w:rFonts w:hint="eastAsia" w:ascii="仿宋_GB2312" w:hAnsi="Calibri" w:eastAsia="仿宋_GB2312"/>
                <w:sz w:val="28"/>
                <w:szCs w:val="20"/>
              </w:rPr>
              <w:t>教材名称</w:t>
            </w:r>
          </w:p>
        </w:tc>
        <w:tc>
          <w:tcPr>
            <w:tcW w:w="2647" w:type="dxa"/>
            <w:tcBorders>
              <w:top w:val="single" w:color="auto" w:sz="4" w:space="0"/>
              <w:left w:val="single" w:color="auto" w:sz="4" w:space="0"/>
              <w:bottom w:val="single" w:color="auto" w:sz="4" w:space="0"/>
              <w:right w:val="single" w:color="auto" w:sz="4" w:space="0"/>
            </w:tcBorders>
            <w:vAlign w:val="center"/>
          </w:tcPr>
          <w:p w14:paraId="38769DC6">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00" w:lineRule="exact"/>
              <w:ind w:left="0" w:right="0"/>
              <w:jc w:val="both"/>
              <w:textAlignment w:val="auto"/>
              <w:rPr>
                <w:rFonts w:hint="eastAsia" w:ascii="仿宋_GB2312" w:hAnsi="Calibri" w:eastAsia="仿宋_GB2312"/>
                <w:sz w:val="28"/>
                <w:szCs w:val="20"/>
                <w:lang w:val="en-US" w:eastAsia="zh-CN"/>
              </w:rPr>
            </w:pPr>
            <w:r>
              <w:rPr>
                <w:rFonts w:hint="eastAsia" w:ascii="仿宋_GB2312" w:hAnsi="Calibri" w:eastAsia="仿宋_GB2312"/>
                <w:sz w:val="28"/>
                <w:szCs w:val="20"/>
                <w:lang w:val="en-US" w:eastAsia="zh-CN"/>
              </w:rPr>
              <w:t>筑梦青春 职引未来</w:t>
            </w:r>
          </w:p>
          <w:p w14:paraId="3D98F788">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00" w:lineRule="exact"/>
              <w:ind w:left="0" w:right="0"/>
              <w:jc w:val="both"/>
              <w:textAlignment w:val="auto"/>
              <w:rPr>
                <w:rFonts w:hint="default" w:ascii="仿宋_GB2312" w:hAnsi="Calibri" w:eastAsia="仿宋_GB2312"/>
                <w:sz w:val="28"/>
                <w:szCs w:val="20"/>
              </w:rPr>
            </w:pPr>
            <w:r>
              <w:rPr>
                <w:rFonts w:hint="eastAsia" w:ascii="仿宋_GB2312" w:hAnsi="Calibri" w:eastAsia="仿宋_GB2312"/>
                <w:sz w:val="28"/>
                <w:szCs w:val="20"/>
                <w:lang w:val="en-US" w:eastAsia="zh-CN"/>
              </w:rPr>
              <w:t>——新时代大学生职业生涯规划与就业指导</w:t>
            </w:r>
          </w:p>
        </w:tc>
        <w:tc>
          <w:tcPr>
            <w:tcW w:w="1614" w:type="dxa"/>
            <w:tcBorders>
              <w:top w:val="single" w:color="auto" w:sz="4" w:space="0"/>
              <w:left w:val="single" w:color="auto" w:sz="4" w:space="0"/>
              <w:bottom w:val="single" w:color="auto" w:sz="4" w:space="0"/>
              <w:right w:val="single" w:color="auto" w:sz="4" w:space="0"/>
            </w:tcBorders>
            <w:vAlign w:val="center"/>
          </w:tcPr>
          <w:p w14:paraId="3A7EFA86">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ISBN号</w:t>
            </w:r>
          </w:p>
        </w:tc>
        <w:tc>
          <w:tcPr>
            <w:tcW w:w="2431" w:type="dxa"/>
            <w:tcBorders>
              <w:top w:val="single" w:color="auto" w:sz="4" w:space="0"/>
              <w:left w:val="single" w:color="auto" w:sz="4" w:space="0"/>
              <w:bottom w:val="single" w:color="auto" w:sz="4" w:space="0"/>
              <w:right w:val="single" w:color="auto" w:sz="4" w:space="0"/>
            </w:tcBorders>
            <w:vAlign w:val="center"/>
          </w:tcPr>
          <w:p w14:paraId="64E3A694">
            <w:pPr>
              <w:keepNext w:val="0"/>
              <w:keepLines w:val="0"/>
              <w:pageBreakBefore w:val="0"/>
              <w:widowControl w:val="0"/>
              <w:suppressLineNumbers w:val="0"/>
              <w:tabs>
                <w:tab w:val="left" w:pos="1440"/>
              </w:tabs>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0"/>
              <w:rPr>
                <w:rFonts w:hint="default" w:ascii="Calibri" w:hAnsi="Calibri" w:eastAsia="仿宋"/>
                <w:sz w:val="18"/>
                <w:szCs w:val="18"/>
                <w:lang w:val="en-US" w:eastAsia="zh-CN"/>
              </w:rPr>
            </w:pPr>
            <w:r>
              <w:rPr>
                <w:rFonts w:hint="eastAsia" w:ascii="仿宋_GB2312" w:hAnsi="Calibri" w:eastAsia="仿宋_GB2312"/>
                <w:sz w:val="24"/>
                <w:szCs w:val="18"/>
                <w:lang w:val="en-US" w:eastAsia="zh-CN"/>
              </w:rPr>
              <w:t>978-7-5657-4032-9</w:t>
            </w:r>
          </w:p>
        </w:tc>
      </w:tr>
      <w:tr w14:paraId="74C4C2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E21AF8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主编姓名</w:t>
            </w:r>
          </w:p>
        </w:tc>
        <w:tc>
          <w:tcPr>
            <w:tcW w:w="2647" w:type="dxa"/>
            <w:tcBorders>
              <w:top w:val="single" w:color="auto" w:sz="4" w:space="0"/>
              <w:left w:val="single" w:color="auto" w:sz="4" w:space="0"/>
              <w:bottom w:val="single" w:color="auto" w:sz="4" w:space="0"/>
              <w:right w:val="single" w:color="auto" w:sz="4" w:space="0"/>
            </w:tcBorders>
            <w:vAlign w:val="center"/>
          </w:tcPr>
          <w:p w14:paraId="4060856B">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0"/>
                <w:lang w:val="en-US" w:eastAsia="zh-CN"/>
              </w:rPr>
            </w:pPr>
            <w:r>
              <w:rPr>
                <w:rFonts w:hint="eastAsia" w:ascii="仿宋_GB2312" w:hAnsi="Calibri" w:eastAsia="仿宋_GB2312"/>
                <w:sz w:val="28"/>
                <w:szCs w:val="20"/>
                <w:lang w:val="en-US" w:eastAsia="zh-CN"/>
              </w:rPr>
              <w:t>黄卓</w:t>
            </w:r>
          </w:p>
        </w:tc>
        <w:tc>
          <w:tcPr>
            <w:tcW w:w="1614" w:type="dxa"/>
            <w:tcBorders>
              <w:top w:val="single" w:color="auto" w:sz="4" w:space="0"/>
              <w:left w:val="single" w:color="auto" w:sz="4" w:space="0"/>
              <w:bottom w:val="single" w:color="auto" w:sz="4" w:space="0"/>
              <w:right w:val="single" w:color="auto" w:sz="4" w:space="0"/>
            </w:tcBorders>
            <w:vAlign w:val="center"/>
          </w:tcPr>
          <w:p w14:paraId="1E31AF5A">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出版单位</w:t>
            </w:r>
          </w:p>
        </w:tc>
        <w:tc>
          <w:tcPr>
            <w:tcW w:w="2431" w:type="dxa"/>
            <w:tcBorders>
              <w:top w:val="single" w:color="auto" w:sz="4" w:space="0"/>
              <w:left w:val="single" w:color="auto" w:sz="4" w:space="0"/>
              <w:bottom w:val="single" w:color="auto" w:sz="4" w:space="0"/>
              <w:right w:val="single" w:color="auto" w:sz="4" w:space="0"/>
            </w:tcBorders>
            <w:vAlign w:val="center"/>
          </w:tcPr>
          <w:p w14:paraId="06DCA940">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0"/>
                <w:lang w:val="en-US" w:eastAsia="zh-CN"/>
              </w:rPr>
            </w:pPr>
            <w:r>
              <w:rPr>
                <w:rFonts w:hint="eastAsia" w:ascii="仿宋_GB2312" w:hAnsi="Calibri" w:eastAsia="仿宋_GB2312"/>
                <w:sz w:val="28"/>
                <w:szCs w:val="20"/>
                <w:lang w:val="en-US" w:eastAsia="zh-CN"/>
              </w:rPr>
              <w:t>中国传媒出版社</w:t>
            </w:r>
          </w:p>
        </w:tc>
      </w:tr>
      <w:tr w14:paraId="6D0E9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5B7E39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出版时间</w:t>
            </w:r>
          </w:p>
        </w:tc>
        <w:tc>
          <w:tcPr>
            <w:tcW w:w="2647" w:type="dxa"/>
            <w:tcBorders>
              <w:top w:val="single" w:color="auto" w:sz="4" w:space="0"/>
              <w:left w:val="single" w:color="auto" w:sz="4" w:space="0"/>
              <w:bottom w:val="single" w:color="auto" w:sz="4" w:space="0"/>
              <w:right w:val="single" w:color="auto" w:sz="4" w:space="0"/>
            </w:tcBorders>
            <w:vAlign w:val="center"/>
          </w:tcPr>
          <w:p w14:paraId="1F5ACE8B">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0"/>
                <w:lang w:val="en-US" w:eastAsia="zh-CN"/>
              </w:rPr>
            </w:pPr>
            <w:r>
              <w:rPr>
                <w:rFonts w:hint="eastAsia" w:ascii="仿宋_GB2312" w:hAnsi="Calibri" w:eastAsia="仿宋_GB2312"/>
                <w:sz w:val="28"/>
                <w:szCs w:val="20"/>
                <w:lang w:val="en-US" w:eastAsia="zh-CN"/>
              </w:rPr>
              <w:t>2025年8月</w:t>
            </w:r>
          </w:p>
        </w:tc>
        <w:tc>
          <w:tcPr>
            <w:tcW w:w="1614" w:type="dxa"/>
            <w:tcBorders>
              <w:top w:val="single" w:color="auto" w:sz="4" w:space="0"/>
              <w:left w:val="single" w:color="auto" w:sz="4" w:space="0"/>
              <w:bottom w:val="single" w:color="auto" w:sz="4" w:space="0"/>
              <w:right w:val="single" w:color="auto" w:sz="4" w:space="0"/>
            </w:tcBorders>
            <w:vAlign w:val="center"/>
          </w:tcPr>
          <w:p w14:paraId="0BFFF48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版    次</w:t>
            </w:r>
          </w:p>
        </w:tc>
        <w:tc>
          <w:tcPr>
            <w:tcW w:w="2431" w:type="dxa"/>
            <w:tcBorders>
              <w:top w:val="single" w:color="auto" w:sz="4" w:space="0"/>
              <w:left w:val="single" w:color="auto" w:sz="4" w:space="0"/>
              <w:bottom w:val="single" w:color="auto" w:sz="4" w:space="0"/>
              <w:right w:val="single" w:color="auto" w:sz="4" w:space="0"/>
            </w:tcBorders>
            <w:vAlign w:val="center"/>
          </w:tcPr>
          <w:p w14:paraId="75F0E8D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0"/>
                <w:lang w:val="en-US" w:eastAsia="zh-CN"/>
              </w:rPr>
            </w:pPr>
            <w:r>
              <w:rPr>
                <w:rFonts w:hint="eastAsia" w:ascii="仿宋_GB2312" w:hAnsi="Calibri" w:eastAsia="仿宋_GB2312"/>
                <w:sz w:val="28"/>
                <w:szCs w:val="20"/>
                <w:lang w:val="en-US" w:eastAsia="zh-CN"/>
              </w:rPr>
              <w:t>第1版</w:t>
            </w:r>
          </w:p>
        </w:tc>
      </w:tr>
      <w:tr w14:paraId="290FC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555" w:type="dxa"/>
            <w:tcBorders>
              <w:top w:val="single" w:color="auto" w:sz="4" w:space="0"/>
              <w:left w:val="single" w:color="auto" w:sz="4" w:space="0"/>
              <w:bottom w:val="single" w:color="auto" w:sz="4" w:space="0"/>
              <w:right w:val="single" w:color="auto" w:sz="4" w:space="0"/>
            </w:tcBorders>
            <w:vAlign w:val="center"/>
          </w:tcPr>
          <w:p w14:paraId="5E5A667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0"/>
              </w:rPr>
            </w:pPr>
            <w:r>
              <w:rPr>
                <w:rFonts w:hint="eastAsia" w:ascii="仿宋_GB2312" w:hAnsi="Calibri" w:eastAsia="仿宋_GB2312"/>
                <w:sz w:val="28"/>
                <w:szCs w:val="20"/>
              </w:rPr>
              <w:t>适用年级</w:t>
            </w:r>
          </w:p>
        </w:tc>
        <w:tc>
          <w:tcPr>
            <w:tcW w:w="2647" w:type="dxa"/>
            <w:tcBorders>
              <w:top w:val="single" w:color="auto" w:sz="4" w:space="0"/>
              <w:left w:val="single" w:color="auto" w:sz="4" w:space="0"/>
              <w:bottom w:val="single" w:color="auto" w:sz="4" w:space="0"/>
              <w:right w:val="single" w:color="auto" w:sz="4" w:space="0"/>
            </w:tcBorders>
            <w:vAlign w:val="center"/>
          </w:tcPr>
          <w:p w14:paraId="0C529058">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0"/>
                <w:lang w:val="en-US" w:eastAsia="zh-CN"/>
              </w:rPr>
            </w:pPr>
            <w:r>
              <w:rPr>
                <w:rFonts w:hint="eastAsia" w:ascii="仿宋_GB2312" w:hAnsi="Calibri" w:eastAsia="仿宋_GB2312"/>
                <w:sz w:val="28"/>
                <w:szCs w:val="20"/>
                <w:lang w:val="en-US" w:eastAsia="zh-CN"/>
              </w:rPr>
              <w:t>大一、大二、大三</w:t>
            </w:r>
          </w:p>
        </w:tc>
        <w:tc>
          <w:tcPr>
            <w:tcW w:w="1614" w:type="dxa"/>
            <w:tcBorders>
              <w:top w:val="single" w:color="auto" w:sz="4" w:space="0"/>
              <w:left w:val="single" w:color="auto" w:sz="4" w:space="0"/>
              <w:bottom w:val="single" w:color="auto" w:sz="4" w:space="0"/>
              <w:right w:val="single" w:color="auto" w:sz="4" w:space="0"/>
            </w:tcBorders>
            <w:vAlign w:val="center"/>
          </w:tcPr>
          <w:p w14:paraId="71C82205">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sz w:val="18"/>
                <w:szCs w:val="18"/>
              </w:rPr>
            </w:pPr>
            <w:r>
              <w:rPr>
                <w:rFonts w:hint="eastAsia" w:ascii="仿宋_GB2312" w:hAnsi="Calibri" w:eastAsia="仿宋_GB2312"/>
                <w:sz w:val="28"/>
                <w:szCs w:val="20"/>
              </w:rPr>
              <w:t>参考学时</w:t>
            </w:r>
          </w:p>
        </w:tc>
        <w:tc>
          <w:tcPr>
            <w:tcW w:w="2431" w:type="dxa"/>
            <w:tcBorders>
              <w:top w:val="single" w:color="auto" w:sz="4" w:space="0"/>
              <w:left w:val="single" w:color="auto" w:sz="4" w:space="0"/>
              <w:bottom w:val="single" w:color="auto" w:sz="4" w:space="0"/>
              <w:right w:val="single" w:color="auto" w:sz="4" w:space="0"/>
            </w:tcBorders>
            <w:vAlign w:val="center"/>
          </w:tcPr>
          <w:p w14:paraId="39ADDAC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0"/>
                <w:lang w:val="en-US" w:eastAsia="zh-CN"/>
              </w:rPr>
            </w:pPr>
            <w:r>
              <w:rPr>
                <w:rFonts w:hint="eastAsia" w:ascii="仿宋_GB2312" w:hAnsi="Calibri" w:eastAsia="仿宋_GB2312"/>
                <w:sz w:val="28"/>
                <w:szCs w:val="20"/>
                <w:lang w:val="en-US" w:eastAsia="zh-CN"/>
              </w:rPr>
              <w:t>40学时</w:t>
            </w:r>
          </w:p>
        </w:tc>
      </w:tr>
      <w:tr w14:paraId="6A7E9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84" w:hRule="atLeast"/>
          <w:jc w:val="center"/>
        </w:trPr>
        <w:tc>
          <w:tcPr>
            <w:tcW w:w="8247" w:type="dxa"/>
            <w:gridSpan w:val="4"/>
            <w:tcBorders>
              <w:top w:val="single" w:color="auto" w:sz="4" w:space="0"/>
              <w:left w:val="single" w:color="auto" w:sz="4" w:space="0"/>
              <w:bottom w:val="single" w:color="auto" w:sz="4" w:space="0"/>
              <w:right w:val="single" w:color="auto" w:sz="4" w:space="0"/>
            </w:tcBorders>
            <w:vAlign w:val="top"/>
          </w:tcPr>
          <w:p w14:paraId="00281C7D">
            <w:pPr>
              <w:keepNext w:val="0"/>
              <w:keepLines w:val="0"/>
              <w:suppressLineNumbers w:val="0"/>
              <w:suppressAutoHyphens/>
              <w:spacing w:before="0" w:beforeAutospacing="0" w:after="0" w:afterAutospacing="0" w:line="460" w:lineRule="exact"/>
              <w:ind w:left="0" w:right="0"/>
              <w:rPr>
                <w:rFonts w:hint="eastAsia" w:ascii="仿宋_GB2312" w:hAnsi="Calibri" w:eastAsia="仿宋_GB2312"/>
                <w:sz w:val="28"/>
                <w:szCs w:val="20"/>
                <w:lang w:val="en-US" w:eastAsia="zh-CN"/>
              </w:rPr>
            </w:pPr>
            <w:r>
              <w:rPr>
                <w:rFonts w:hint="eastAsia" w:ascii="仿宋_GB2312" w:hAnsi="Calibri" w:eastAsia="仿宋_GB2312"/>
                <w:sz w:val="28"/>
                <w:szCs w:val="20"/>
              </w:rPr>
              <w:t>曾获奖励</w:t>
            </w:r>
            <w:r>
              <w:rPr>
                <w:rFonts w:hint="eastAsia" w:ascii="仿宋_GB2312" w:hAnsi="Calibri" w:eastAsia="仿宋_GB2312"/>
                <w:sz w:val="28"/>
                <w:szCs w:val="20"/>
                <w:lang w:val="en-US" w:eastAsia="zh-CN"/>
              </w:rPr>
              <w:t xml:space="preserve">       </w:t>
            </w:r>
          </w:p>
          <w:p w14:paraId="1524D1A0">
            <w:pPr>
              <w:keepNext w:val="0"/>
              <w:keepLines w:val="0"/>
              <w:suppressLineNumbers w:val="0"/>
              <w:suppressAutoHyphens/>
              <w:spacing w:before="0" w:beforeAutospacing="0" w:after="0" w:afterAutospacing="0" w:line="460" w:lineRule="exact"/>
              <w:ind w:left="0" w:right="0"/>
              <w:rPr>
                <w:rFonts w:hint="eastAsia" w:ascii="仿宋_GB2312" w:hAnsi="Calibri" w:eastAsia="仿宋_GB2312"/>
                <w:b/>
                <w:bCs/>
                <w:sz w:val="28"/>
                <w:szCs w:val="20"/>
                <w:highlight w:val="yellow"/>
                <w:lang w:val="en-US" w:eastAsia="zh-CN"/>
              </w:rPr>
            </w:pPr>
            <w:r>
              <w:rPr>
                <w:rFonts w:hint="eastAsia" w:ascii="仿宋_GB2312" w:hAnsi="Calibri" w:eastAsia="仿宋_GB2312"/>
                <w:sz w:val="28"/>
                <w:szCs w:val="20"/>
                <w:lang w:val="en-US" w:eastAsia="zh-CN"/>
              </w:rPr>
              <w:t xml:space="preserve">   </w:t>
            </w:r>
            <w:r>
              <w:rPr>
                <w:rFonts w:hint="eastAsia" w:ascii="仿宋_GB2312" w:hAnsi="Calibri" w:eastAsia="仿宋_GB2312"/>
                <w:sz w:val="28"/>
                <w:szCs w:val="28"/>
                <w:lang w:val="en-US" w:eastAsia="zh-CN"/>
              </w:rPr>
              <w:t xml:space="preserve">  </w:t>
            </w:r>
            <w:r>
              <w:rPr>
                <w:rFonts w:hint="eastAsia" w:ascii="仿宋_GB2312" w:hAnsi="Calibri" w:eastAsia="仿宋_GB2312"/>
                <w:b/>
                <w:bCs/>
                <w:sz w:val="28"/>
                <w:szCs w:val="28"/>
                <w:lang w:val="en-US" w:eastAsia="zh-CN"/>
              </w:rPr>
              <w:t xml:space="preserve"> </w:t>
            </w:r>
            <w:r>
              <w:rPr>
                <w:rFonts w:hint="eastAsia" w:ascii="仿宋_GB2312" w:hAnsi="Calibri" w:eastAsia="仿宋_GB2312"/>
                <w:b/>
                <w:bCs/>
                <w:sz w:val="28"/>
                <w:szCs w:val="28"/>
                <w:highlight w:val="none"/>
                <w:lang w:val="en-US" w:eastAsia="zh-CN"/>
              </w:rPr>
              <w:t xml:space="preserve"> </w:t>
            </w:r>
            <w:r>
              <w:rPr>
                <w:rFonts w:hint="eastAsia" w:ascii="仿宋_GB2312" w:hAnsi="Calibri" w:eastAsia="仿宋_GB2312"/>
                <w:sz w:val="28"/>
                <w:szCs w:val="28"/>
                <w:lang w:val="en-US" w:eastAsia="zh-CN"/>
              </w:rPr>
              <w:t xml:space="preserve">该教材列入“2025年度校级规划教材建设项目” </w:t>
            </w:r>
          </w:p>
          <w:p w14:paraId="201244CF">
            <w:pPr>
              <w:keepNext w:val="0"/>
              <w:keepLines w:val="0"/>
              <w:suppressLineNumbers w:val="0"/>
              <w:suppressAutoHyphens/>
              <w:spacing w:before="0" w:beforeAutospacing="0" w:after="0" w:afterAutospacing="0" w:line="460" w:lineRule="exact"/>
              <w:ind w:left="0" w:right="0"/>
              <w:rPr>
                <w:rFonts w:hint="eastAsia" w:ascii="仿宋_GB2312" w:hAnsi="Calibri" w:eastAsia="仿宋_GB2312"/>
                <w:sz w:val="28"/>
                <w:szCs w:val="20"/>
                <w:highlight w:val="yellow"/>
                <w:lang w:val="en-US" w:eastAsia="zh-CN"/>
              </w:rPr>
            </w:pPr>
          </w:p>
          <w:p w14:paraId="2BDDDEBA">
            <w:pPr>
              <w:keepNext w:val="0"/>
              <w:keepLines w:val="0"/>
              <w:suppressLineNumbers w:val="0"/>
              <w:suppressAutoHyphens/>
              <w:spacing w:before="0" w:beforeAutospacing="0" w:after="0" w:afterAutospacing="0" w:line="460" w:lineRule="exact"/>
              <w:ind w:left="0" w:right="0"/>
              <w:rPr>
                <w:rFonts w:hint="eastAsia" w:ascii="仿宋_GB2312" w:hAnsi="Calibri" w:eastAsia="仿宋_GB2312"/>
                <w:sz w:val="28"/>
                <w:szCs w:val="20"/>
                <w:highlight w:val="yellow"/>
                <w:lang w:val="en-US" w:eastAsia="zh-CN"/>
              </w:rPr>
            </w:pPr>
          </w:p>
          <w:p w14:paraId="407AE162">
            <w:pPr>
              <w:keepNext w:val="0"/>
              <w:keepLines w:val="0"/>
              <w:suppressLineNumbers w:val="0"/>
              <w:suppressAutoHyphens/>
              <w:spacing w:before="0" w:beforeAutospacing="0" w:after="0" w:afterAutospacing="0" w:line="460" w:lineRule="exact"/>
              <w:ind w:left="0" w:right="0"/>
              <w:rPr>
                <w:rFonts w:hint="eastAsia" w:ascii="仿宋_GB2312" w:hAnsi="Calibri" w:eastAsia="仿宋_GB2312"/>
                <w:sz w:val="28"/>
                <w:szCs w:val="20"/>
                <w:highlight w:val="yellow"/>
                <w:lang w:val="en-US" w:eastAsia="zh-CN"/>
              </w:rPr>
            </w:pPr>
          </w:p>
        </w:tc>
      </w:tr>
    </w:tbl>
    <w:p w14:paraId="71FDC95F">
      <w:pPr>
        <w:suppressAutoHyphens/>
        <w:spacing w:line="560" w:lineRule="exact"/>
        <w:jc w:val="left"/>
        <w:rPr>
          <w:rFonts w:hint="eastAsia" w:ascii="黑体" w:hAnsi="黑体" w:eastAsia="黑体"/>
          <w:sz w:val="32"/>
          <w:szCs w:val="32"/>
        </w:rPr>
      </w:pPr>
      <w:r>
        <w:rPr>
          <w:rFonts w:hint="eastAsia" w:ascii="黑体" w:hAnsi="黑体" w:eastAsia="黑体"/>
          <w:sz w:val="32"/>
          <w:szCs w:val="32"/>
        </w:rPr>
        <w:t>二、使用情况</w:t>
      </w:r>
    </w:p>
    <w:tbl>
      <w:tblPr>
        <w:tblStyle w:val="4"/>
        <w:tblW w:w="82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06"/>
        <w:gridCol w:w="2319"/>
        <w:gridCol w:w="1843"/>
        <w:gridCol w:w="1733"/>
      </w:tblGrid>
      <w:tr w14:paraId="6063D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6" w:hRule="exact"/>
          <w:jc w:val="center"/>
        </w:trPr>
        <w:tc>
          <w:tcPr>
            <w:tcW w:w="2306" w:type="dxa"/>
            <w:tcBorders>
              <w:top w:val="single" w:color="auto" w:sz="4" w:space="0"/>
              <w:left w:val="single" w:color="auto" w:sz="4" w:space="0"/>
              <w:bottom w:val="single" w:color="auto" w:sz="4" w:space="0"/>
              <w:right w:val="single" w:color="auto" w:sz="4" w:space="0"/>
            </w:tcBorders>
            <w:vAlign w:val="center"/>
          </w:tcPr>
          <w:p w14:paraId="16881E62">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sz w:val="18"/>
                <w:szCs w:val="18"/>
              </w:rPr>
            </w:pPr>
            <w:r>
              <w:rPr>
                <w:rFonts w:hint="eastAsia" w:ascii="仿宋_GB2312" w:hAnsi="Calibri" w:eastAsia="仿宋_GB2312"/>
                <w:sz w:val="28"/>
                <w:szCs w:val="20"/>
              </w:rPr>
              <w:t>课程名称</w:t>
            </w:r>
          </w:p>
        </w:tc>
        <w:tc>
          <w:tcPr>
            <w:tcW w:w="2319" w:type="dxa"/>
            <w:tcBorders>
              <w:top w:val="single" w:color="auto" w:sz="4" w:space="0"/>
              <w:left w:val="single" w:color="auto" w:sz="4" w:space="0"/>
              <w:bottom w:val="single" w:color="auto" w:sz="4" w:space="0"/>
              <w:right w:val="single" w:color="auto" w:sz="4" w:space="0"/>
            </w:tcBorders>
            <w:vAlign w:val="center"/>
          </w:tcPr>
          <w:p w14:paraId="31EEAF53">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仿宋_GB2312" w:hAnsi="Calibri" w:eastAsia="仿宋_GB2312"/>
                <w:sz w:val="28"/>
                <w:szCs w:val="20"/>
                <w:lang w:val="en-US" w:eastAsia="zh-CN"/>
              </w:rPr>
            </w:pPr>
            <w:r>
              <w:rPr>
                <w:rFonts w:hint="eastAsia" w:ascii="仿宋_GB2312" w:hAnsi="Calibri" w:eastAsia="仿宋_GB2312"/>
                <w:sz w:val="28"/>
                <w:szCs w:val="20"/>
                <w:lang w:val="en-US" w:eastAsia="zh-CN"/>
              </w:rPr>
              <w:t>职业生涯规划与</w:t>
            </w:r>
          </w:p>
          <w:p w14:paraId="3CB06F76">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Calibri" w:hAnsi="Calibri" w:eastAsia="仿宋"/>
                <w:sz w:val="18"/>
                <w:szCs w:val="18"/>
                <w:lang w:eastAsia="zh-CN"/>
              </w:rPr>
            </w:pPr>
            <w:r>
              <w:rPr>
                <w:rFonts w:hint="eastAsia" w:ascii="仿宋_GB2312" w:hAnsi="Calibri" w:eastAsia="仿宋_GB2312"/>
                <w:sz w:val="28"/>
                <w:szCs w:val="20"/>
                <w:lang w:val="en-US" w:eastAsia="zh-CN"/>
              </w:rPr>
              <w:t>就业指导</w:t>
            </w:r>
          </w:p>
        </w:tc>
        <w:tc>
          <w:tcPr>
            <w:tcW w:w="1843" w:type="dxa"/>
            <w:tcBorders>
              <w:top w:val="single" w:color="auto" w:sz="4" w:space="0"/>
              <w:left w:val="single" w:color="auto" w:sz="4" w:space="0"/>
              <w:bottom w:val="single" w:color="auto" w:sz="4" w:space="0"/>
              <w:right w:val="single" w:color="auto" w:sz="4" w:space="0"/>
            </w:tcBorders>
            <w:vAlign w:val="center"/>
          </w:tcPr>
          <w:p w14:paraId="7379D9F0">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学   时</w:t>
            </w:r>
          </w:p>
        </w:tc>
        <w:tc>
          <w:tcPr>
            <w:tcW w:w="1733" w:type="dxa"/>
            <w:tcBorders>
              <w:top w:val="single" w:color="auto" w:sz="4" w:space="0"/>
              <w:left w:val="single" w:color="auto" w:sz="4" w:space="0"/>
              <w:bottom w:val="single" w:color="auto" w:sz="4" w:space="0"/>
              <w:right w:val="single" w:color="auto" w:sz="4" w:space="0"/>
            </w:tcBorders>
            <w:vAlign w:val="center"/>
          </w:tcPr>
          <w:p w14:paraId="4E28B94E">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Calibri" w:hAnsi="Calibri" w:eastAsia="仿宋"/>
                <w:sz w:val="18"/>
                <w:szCs w:val="18"/>
                <w:lang w:val="en-US" w:eastAsia="zh-CN"/>
              </w:rPr>
            </w:pPr>
            <w:r>
              <w:rPr>
                <w:rFonts w:hint="eastAsia" w:ascii="仿宋_GB2312" w:hAnsi="Calibri" w:eastAsia="仿宋_GB2312"/>
                <w:sz w:val="28"/>
                <w:szCs w:val="20"/>
                <w:lang w:val="en-US" w:eastAsia="zh-CN"/>
              </w:rPr>
              <w:t>40学时</w:t>
            </w:r>
          </w:p>
        </w:tc>
      </w:tr>
      <w:tr w14:paraId="3ABAE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2306" w:type="dxa"/>
            <w:tcBorders>
              <w:top w:val="single" w:color="auto" w:sz="4" w:space="0"/>
              <w:left w:val="single" w:color="auto" w:sz="4" w:space="0"/>
              <w:bottom w:val="single" w:color="auto" w:sz="4" w:space="0"/>
              <w:right w:val="single" w:color="auto" w:sz="4" w:space="0"/>
            </w:tcBorders>
            <w:vAlign w:val="center"/>
          </w:tcPr>
          <w:p w14:paraId="1DC3D2F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课程性质</w:t>
            </w:r>
          </w:p>
        </w:tc>
        <w:tc>
          <w:tcPr>
            <w:tcW w:w="5895" w:type="dxa"/>
            <w:gridSpan w:val="3"/>
            <w:tcBorders>
              <w:top w:val="single" w:color="auto" w:sz="4" w:space="0"/>
              <w:left w:val="single" w:color="auto" w:sz="4" w:space="0"/>
              <w:bottom w:val="single" w:color="auto" w:sz="4" w:space="0"/>
              <w:right w:val="single" w:color="auto" w:sz="4" w:space="0"/>
            </w:tcBorders>
            <w:vAlign w:val="center"/>
          </w:tcPr>
          <w:p w14:paraId="2FE7E7E0">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0"/>
              </w:rPr>
            </w:pPr>
            <w:r>
              <w:rPr>
                <w:rFonts w:hint="eastAsia" w:ascii="仿宋_GB2312" w:hAnsi="Calibri" w:eastAsia="仿宋_GB2312"/>
                <w:sz w:val="28"/>
                <w:szCs w:val="20"/>
                <w:lang w:eastAsia="zh-CN"/>
              </w:rPr>
              <w:t>☑</w:t>
            </w:r>
            <w:r>
              <w:rPr>
                <w:rFonts w:hint="eastAsia" w:ascii="仿宋_GB2312" w:hAnsi="Calibri" w:eastAsia="仿宋_GB2312"/>
                <w:sz w:val="28"/>
                <w:szCs w:val="20"/>
              </w:rPr>
              <w:t>必修课       □选修课</w:t>
            </w:r>
          </w:p>
        </w:tc>
      </w:tr>
      <w:tr w14:paraId="624F0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2306" w:type="dxa"/>
            <w:tcBorders>
              <w:top w:val="single" w:color="auto" w:sz="4" w:space="0"/>
              <w:left w:val="single" w:color="auto" w:sz="4" w:space="0"/>
              <w:bottom w:val="single" w:color="auto" w:sz="4" w:space="0"/>
              <w:right w:val="single" w:color="auto" w:sz="4" w:space="0"/>
            </w:tcBorders>
            <w:vAlign w:val="center"/>
          </w:tcPr>
          <w:p w14:paraId="6EFC4B9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sz w:val="18"/>
                <w:szCs w:val="18"/>
              </w:rPr>
            </w:pPr>
            <w:r>
              <w:rPr>
                <w:rFonts w:hint="eastAsia" w:ascii="仿宋_GB2312" w:hAnsi="Calibri" w:eastAsia="仿宋_GB2312"/>
                <w:sz w:val="28"/>
                <w:szCs w:val="20"/>
              </w:rPr>
              <w:t>使用教师人数</w:t>
            </w:r>
          </w:p>
        </w:tc>
        <w:tc>
          <w:tcPr>
            <w:tcW w:w="2319" w:type="dxa"/>
            <w:tcBorders>
              <w:top w:val="single" w:color="auto" w:sz="4" w:space="0"/>
              <w:left w:val="single" w:color="auto" w:sz="4" w:space="0"/>
              <w:bottom w:val="single" w:color="auto" w:sz="4" w:space="0"/>
              <w:right w:val="single" w:color="auto" w:sz="4" w:space="0"/>
            </w:tcBorders>
            <w:vAlign w:val="center"/>
          </w:tcPr>
          <w:p w14:paraId="1E3547F5">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Calibri" w:hAnsi="Calibri" w:eastAsia="仿宋"/>
                <w:sz w:val="18"/>
                <w:szCs w:val="18"/>
                <w:lang w:val="en-US" w:eastAsia="zh-CN"/>
              </w:rPr>
            </w:pPr>
            <w:r>
              <w:rPr>
                <w:rFonts w:hint="eastAsia" w:ascii="Calibri" w:hAnsi="Calibri"/>
                <w:sz w:val="18"/>
                <w:szCs w:val="18"/>
                <w:lang w:val="en-US" w:eastAsia="zh-CN"/>
              </w:rPr>
              <w:t xml:space="preserve">  </w:t>
            </w:r>
            <w:r>
              <w:rPr>
                <w:rFonts w:hint="eastAsia" w:ascii="仿宋_GB2312" w:hAnsi="Calibri" w:eastAsia="仿宋_GB2312"/>
                <w:sz w:val="28"/>
                <w:szCs w:val="20"/>
                <w:lang w:val="en-US" w:eastAsia="zh-CN"/>
              </w:rPr>
              <w:t xml:space="preserve">    21人</w:t>
            </w:r>
          </w:p>
        </w:tc>
        <w:tc>
          <w:tcPr>
            <w:tcW w:w="1843" w:type="dxa"/>
            <w:tcBorders>
              <w:top w:val="single" w:color="auto" w:sz="4" w:space="0"/>
              <w:left w:val="single" w:color="auto" w:sz="4" w:space="0"/>
              <w:bottom w:val="single" w:color="auto" w:sz="4" w:space="0"/>
              <w:right w:val="single" w:color="auto" w:sz="4" w:space="0"/>
            </w:tcBorders>
            <w:vAlign w:val="center"/>
          </w:tcPr>
          <w:p w14:paraId="17A69D5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sz w:val="18"/>
                <w:szCs w:val="18"/>
              </w:rPr>
            </w:pPr>
            <w:r>
              <w:rPr>
                <w:rFonts w:hint="eastAsia" w:ascii="仿宋_GB2312" w:hAnsi="Calibri" w:eastAsia="仿宋_GB2312"/>
                <w:sz w:val="28"/>
                <w:szCs w:val="20"/>
                <w:highlight w:val="none"/>
              </w:rPr>
              <w:t>教材发行量</w:t>
            </w:r>
          </w:p>
        </w:tc>
        <w:tc>
          <w:tcPr>
            <w:tcW w:w="1733" w:type="dxa"/>
            <w:tcBorders>
              <w:top w:val="single" w:color="auto" w:sz="4" w:space="0"/>
              <w:left w:val="single" w:color="auto" w:sz="4" w:space="0"/>
              <w:bottom w:val="single" w:color="auto" w:sz="4" w:space="0"/>
              <w:right w:val="single" w:color="auto" w:sz="4" w:space="0"/>
            </w:tcBorders>
            <w:vAlign w:val="center"/>
          </w:tcPr>
          <w:p w14:paraId="4453189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eastAsia="仿宋"/>
                <w:sz w:val="18"/>
                <w:szCs w:val="18"/>
                <w:lang w:val="en-US" w:eastAsia="zh-CN"/>
              </w:rPr>
            </w:pPr>
            <w:r>
              <w:rPr>
                <w:rFonts w:hint="eastAsia" w:ascii="仿宋_GB2312" w:hAnsi="Calibri" w:eastAsia="仿宋_GB2312"/>
                <w:sz w:val="28"/>
                <w:szCs w:val="20"/>
                <w:lang w:val="en-US" w:eastAsia="zh-CN"/>
              </w:rPr>
              <w:t>15000</w:t>
            </w:r>
          </w:p>
        </w:tc>
      </w:tr>
      <w:tr w14:paraId="4DD6D6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23" w:hRule="atLeast"/>
          <w:jc w:val="center"/>
        </w:trPr>
        <w:tc>
          <w:tcPr>
            <w:tcW w:w="8201" w:type="dxa"/>
            <w:gridSpan w:val="4"/>
            <w:tcBorders>
              <w:top w:val="single" w:color="auto" w:sz="4" w:space="0"/>
              <w:left w:val="single" w:color="auto" w:sz="4" w:space="0"/>
              <w:bottom w:val="single" w:color="auto" w:sz="4" w:space="0"/>
              <w:right w:val="single" w:color="auto" w:sz="4" w:space="0"/>
            </w:tcBorders>
            <w:vAlign w:val="top"/>
          </w:tcPr>
          <w:p w14:paraId="6552E46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157" w:afterLines="50" w:afterAutospacing="0" w:line="560" w:lineRule="exact"/>
              <w:ind w:left="0" w:right="0"/>
              <w:textAlignment w:val="auto"/>
              <w:rPr>
                <w:rFonts w:hint="eastAsia" w:ascii="仿宋_GB2312" w:hAnsi="Calibri" w:eastAsia="仿宋_GB2312"/>
                <w:sz w:val="28"/>
                <w:szCs w:val="20"/>
              </w:rPr>
            </w:pPr>
            <w:r>
              <w:rPr>
                <w:rFonts w:hint="eastAsia" w:ascii="仿宋_GB2312" w:hAnsi="Calibri" w:eastAsia="仿宋_GB2312"/>
                <w:sz w:val="28"/>
                <w:szCs w:val="20"/>
              </w:rPr>
              <w:t>该课程获奖情况</w:t>
            </w:r>
          </w:p>
          <w:p w14:paraId="78180C29">
            <w:pPr>
              <w:keepNext w:val="0"/>
              <w:keepLines w:val="0"/>
              <w:pageBreakBefore w:val="0"/>
              <w:widowControl w:val="0"/>
              <w:suppressLineNumbers w:val="0"/>
              <w:suppressAutoHyphens/>
              <w:kinsoku/>
              <w:wordWrap/>
              <w:overflowPunct/>
              <w:topLinePunct w:val="0"/>
              <w:autoSpaceDE/>
              <w:autoSpaceDN/>
              <w:bidi w:val="0"/>
              <w:spacing w:before="0" w:beforeAutospacing="0" w:after="0" w:afterAutospacing="0" w:line="460" w:lineRule="exact"/>
              <w:ind w:left="0" w:righ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1.杨春梅讲授《职业生涯规划与就业指导》课程，荣获2022年“河北省高校就业创业指导课程教师教学大赛省级三等奖”；</w:t>
            </w:r>
          </w:p>
          <w:p w14:paraId="0E9234F7">
            <w:pPr>
              <w:keepNext w:val="0"/>
              <w:keepLines w:val="0"/>
              <w:pageBreakBefore w:val="0"/>
              <w:widowControl w:val="0"/>
              <w:numPr>
                <w:ilvl w:val="0"/>
                <w:numId w:val="0"/>
              </w:numPr>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2.杨月圆讲授《职业生涯规划与就业指导》课程，荣获2023年“高校生涯发展教育与就业指导课程教师教学大赛省级三等奖”；</w:t>
            </w:r>
          </w:p>
          <w:p w14:paraId="26C59284">
            <w:pPr>
              <w:keepNext w:val="0"/>
              <w:keepLines w:val="0"/>
              <w:pageBreakBefore w:val="0"/>
              <w:widowControl w:val="0"/>
              <w:numPr>
                <w:ilvl w:val="0"/>
                <w:numId w:val="0"/>
              </w:numPr>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3.2025年全国大学生职业规划大赛，荣获省级铜奖;</w:t>
            </w:r>
          </w:p>
          <w:p w14:paraId="2CE60F05">
            <w:pPr>
              <w:keepNext w:val="0"/>
              <w:keepLines w:val="0"/>
              <w:pageBreakBefore w:val="0"/>
              <w:widowControl w:val="0"/>
              <w:numPr>
                <w:ilvl w:val="0"/>
                <w:numId w:val="0"/>
              </w:numPr>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4.2022年第八届全国应用型人才综合技能大赛“职场秀”职业生涯规划大赛，荣获二等奖4名，三等奖8名;</w:t>
            </w:r>
          </w:p>
          <w:p w14:paraId="183FCCA5">
            <w:pPr>
              <w:keepNext w:val="0"/>
              <w:keepLines w:val="0"/>
              <w:pageBreakBefore w:val="0"/>
              <w:widowControl w:val="0"/>
              <w:numPr>
                <w:ilvl w:val="0"/>
                <w:numId w:val="0"/>
              </w:numPr>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cs="仿宋"/>
                <w:sz w:val="28"/>
                <w:szCs w:val="28"/>
                <w:lang w:val="en-US" w:eastAsia="zh-CN"/>
              </w:rPr>
              <w:t>5</w:t>
            </w:r>
            <w:r>
              <w:rPr>
                <w:rFonts w:hint="eastAsia" w:ascii="仿宋" w:hAnsi="仿宋" w:eastAsia="仿宋" w:cs="仿宋"/>
                <w:sz w:val="28"/>
                <w:szCs w:val="28"/>
                <w:lang w:val="en-US" w:eastAsia="zh-CN"/>
              </w:rPr>
              <w:t>.2023年第九届全国应用型人才综合技能大赛“职场秀”职业生涯规划大赛，荣获一等奖2名，二等奖6名，三等奖6名;</w:t>
            </w:r>
          </w:p>
          <w:p w14:paraId="414AD8C4">
            <w:pPr>
              <w:keepNext w:val="0"/>
              <w:keepLines w:val="0"/>
              <w:pageBreakBefore w:val="0"/>
              <w:widowControl w:val="0"/>
              <w:suppressLineNumbers w:val="0"/>
              <w:suppressAutoHyphens/>
              <w:kinsoku/>
              <w:wordWrap/>
              <w:overflowPunct/>
              <w:topLinePunct w:val="0"/>
              <w:autoSpaceDE/>
              <w:autoSpaceDN/>
              <w:bidi w:val="0"/>
              <w:spacing w:before="0" w:beforeAutospacing="0" w:after="0" w:afterAutospacing="0" w:line="460" w:lineRule="exact"/>
              <w:ind w:left="0" w:right="0" w:firstLine="560" w:firstLineChars="200"/>
              <w:textAlignment w:val="auto"/>
              <w:rPr>
                <w:rFonts w:hint="eastAsia" w:ascii="仿宋" w:hAnsi="仿宋" w:cs="仿宋"/>
                <w:sz w:val="28"/>
                <w:szCs w:val="28"/>
                <w:lang w:val="en-US" w:eastAsia="zh-CN"/>
              </w:rPr>
            </w:pPr>
          </w:p>
          <w:p w14:paraId="147B6657">
            <w:pPr>
              <w:keepNext w:val="0"/>
              <w:keepLines w:val="0"/>
              <w:pageBreakBefore w:val="0"/>
              <w:widowControl w:val="0"/>
              <w:suppressLineNumbers w:val="0"/>
              <w:suppressAutoHyphens/>
              <w:kinsoku/>
              <w:wordWrap/>
              <w:overflowPunct/>
              <w:topLinePunct w:val="0"/>
              <w:autoSpaceDE/>
              <w:autoSpaceDN/>
              <w:bidi w:val="0"/>
              <w:spacing w:before="0" w:beforeAutospacing="0" w:after="0" w:afterAutospacing="0" w:line="460" w:lineRule="exact"/>
              <w:ind w:left="0" w:right="0" w:firstLine="560" w:firstLineChars="200"/>
              <w:textAlignment w:val="auto"/>
              <w:rPr>
                <w:rFonts w:hint="eastAsia" w:ascii="仿宋" w:hAnsi="仿宋" w:eastAsia="仿宋" w:cs="仿宋"/>
                <w:sz w:val="28"/>
                <w:szCs w:val="28"/>
                <w:lang w:val="en-US" w:eastAsia="zh-CN"/>
              </w:rPr>
            </w:pPr>
            <w:r>
              <w:rPr>
                <w:rFonts w:hint="eastAsia" w:ascii="仿宋" w:hAnsi="仿宋" w:cs="仿宋"/>
                <w:sz w:val="28"/>
                <w:szCs w:val="28"/>
                <w:lang w:val="en-US" w:eastAsia="zh-CN"/>
              </w:rPr>
              <w:t>6</w:t>
            </w:r>
            <w:r>
              <w:rPr>
                <w:rFonts w:hint="eastAsia" w:ascii="仿宋" w:hAnsi="仿宋" w:eastAsia="仿宋" w:cs="仿宋"/>
                <w:sz w:val="28"/>
                <w:szCs w:val="28"/>
                <w:lang w:val="en-US" w:eastAsia="zh-CN"/>
              </w:rPr>
              <w:t xml:space="preserve">.2024年第四届全国大学生职业发展大赛，荣获一等奖1项，二等奖4项，三等奖5项；优秀指导教师：5人；优秀组织者2人；优秀协办单位; </w:t>
            </w:r>
          </w:p>
          <w:p w14:paraId="250FB90E">
            <w:pPr>
              <w:keepNext w:val="0"/>
              <w:keepLines w:val="0"/>
              <w:pageBreakBefore w:val="0"/>
              <w:widowControl w:val="0"/>
              <w:suppressLineNumbers w:val="0"/>
              <w:suppressAutoHyphens/>
              <w:kinsoku/>
              <w:wordWrap/>
              <w:overflowPunct/>
              <w:topLinePunct w:val="0"/>
              <w:autoSpaceDE/>
              <w:autoSpaceDN/>
              <w:bidi w:val="0"/>
              <w:spacing w:before="0" w:beforeAutospacing="0" w:after="0" w:afterAutospacing="0" w:line="460" w:lineRule="exact"/>
              <w:ind w:left="0" w:right="0" w:firstLine="560" w:firstLineChars="200"/>
              <w:textAlignment w:val="auto"/>
              <w:rPr>
                <w:rFonts w:hint="eastAsia" w:ascii="仿宋" w:hAnsi="仿宋" w:eastAsia="仿宋" w:cs="仿宋"/>
                <w:sz w:val="28"/>
                <w:szCs w:val="28"/>
                <w:lang w:val="en-US" w:eastAsia="zh-CN"/>
              </w:rPr>
            </w:pPr>
            <w:r>
              <w:rPr>
                <w:rFonts w:hint="eastAsia" w:ascii="仿宋" w:hAnsi="仿宋" w:cs="仿宋"/>
                <w:sz w:val="28"/>
                <w:szCs w:val="28"/>
                <w:lang w:val="en-US" w:eastAsia="zh-CN"/>
              </w:rPr>
              <w:t>7.</w:t>
            </w:r>
            <w:r>
              <w:rPr>
                <w:rFonts w:hint="eastAsia" w:ascii="仿宋" w:hAnsi="仿宋" w:eastAsia="仿宋" w:cs="仿宋"/>
                <w:sz w:val="28"/>
                <w:szCs w:val="28"/>
                <w:lang w:val="en-US" w:eastAsia="zh-CN"/>
              </w:rPr>
              <w:t>2024年第十届全国应用型人才综合技能大赛“职场秀”职业生涯规划大赛，荣获一等奖2名，二等奖11名，三等奖8名</w:t>
            </w:r>
          </w:p>
          <w:p w14:paraId="31260E9D">
            <w:pPr>
              <w:keepNext w:val="0"/>
              <w:keepLines w:val="0"/>
              <w:pageBreakBefore w:val="0"/>
              <w:widowControl w:val="0"/>
              <w:suppressLineNumbers w:val="0"/>
              <w:suppressAutoHyphens/>
              <w:kinsoku/>
              <w:wordWrap/>
              <w:overflowPunct/>
              <w:topLinePunct w:val="0"/>
              <w:autoSpaceDE/>
              <w:autoSpaceDN/>
              <w:bidi w:val="0"/>
              <w:spacing w:before="0" w:beforeAutospacing="0" w:after="0" w:afterAutospacing="0" w:line="460" w:lineRule="exact"/>
              <w:ind w:left="0" w:right="0" w:firstLine="560" w:firstLineChars="200"/>
              <w:textAlignment w:val="auto"/>
              <w:rPr>
                <w:rFonts w:hint="eastAsia" w:ascii="仿宋_GB2312" w:hAnsi="Calibri" w:eastAsia="仿宋"/>
                <w:sz w:val="28"/>
                <w:szCs w:val="20"/>
                <w:lang w:val="en-US" w:eastAsia="zh-CN"/>
              </w:rPr>
            </w:pPr>
            <w:r>
              <w:rPr>
                <w:rFonts w:hint="eastAsia" w:ascii="仿宋" w:hAnsi="仿宋" w:cs="仿宋"/>
                <w:sz w:val="28"/>
                <w:szCs w:val="28"/>
                <w:lang w:val="en-US" w:eastAsia="zh-CN"/>
              </w:rPr>
              <w:t>8</w:t>
            </w:r>
            <w:r>
              <w:rPr>
                <w:rFonts w:hint="eastAsia" w:ascii="仿宋" w:hAnsi="仿宋" w:eastAsia="仿宋" w:cs="仿宋"/>
                <w:sz w:val="28"/>
                <w:szCs w:val="28"/>
                <w:lang w:val="en-US" w:eastAsia="zh-CN"/>
              </w:rPr>
              <w:t>.2025年第五届全国大学生职业发展大赛，荣获一等奖3项，二等奖5项，三等奖3项；优秀指导教师：7人；优秀组织者3人；优秀协办单位</w:t>
            </w:r>
            <w:r>
              <w:rPr>
                <w:rFonts w:hint="eastAsia" w:ascii="仿宋" w:hAnsi="仿宋" w:cs="仿宋"/>
                <w:sz w:val="28"/>
                <w:szCs w:val="28"/>
                <w:lang w:val="en-US" w:eastAsia="zh-CN"/>
              </w:rPr>
              <w:t>。</w:t>
            </w:r>
          </w:p>
          <w:p w14:paraId="0186CBFE">
            <w:pPr>
              <w:keepNext w:val="0"/>
              <w:keepLines w:val="0"/>
              <w:suppressLineNumbers w:val="0"/>
              <w:suppressAutoHyphens/>
              <w:spacing w:before="0" w:beforeAutospacing="0" w:after="0" w:afterAutospacing="0" w:line="560" w:lineRule="exact"/>
              <w:ind w:left="0" w:right="0"/>
              <w:rPr>
                <w:rFonts w:hint="default" w:ascii="仿宋_GB2312" w:hAnsi="Calibri" w:eastAsia="仿宋_GB2312"/>
                <w:sz w:val="28"/>
                <w:szCs w:val="20"/>
                <w:lang w:val="en-US" w:eastAsia="zh-CN"/>
              </w:rPr>
            </w:pPr>
          </w:p>
        </w:tc>
      </w:tr>
    </w:tbl>
    <w:p w14:paraId="70F1FD6D">
      <w:pPr>
        <w:suppressAutoHyphens/>
        <w:spacing w:line="560" w:lineRule="exact"/>
        <w:jc w:val="left"/>
        <w:rPr>
          <w:rFonts w:hint="eastAsia" w:ascii="Calibri" w:hAnsi="Calibri"/>
          <w:sz w:val="32"/>
          <w:szCs w:val="32"/>
        </w:rPr>
      </w:pPr>
      <w:r>
        <w:rPr>
          <w:rFonts w:hint="eastAsia" w:ascii="黑体" w:hAnsi="黑体" w:eastAsia="黑体"/>
          <w:sz w:val="32"/>
          <w:szCs w:val="32"/>
        </w:rPr>
        <w:t>三、编者情况</w:t>
      </w:r>
    </w:p>
    <w:tbl>
      <w:tblPr>
        <w:tblStyle w:val="4"/>
        <w:tblW w:w="8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0"/>
        <w:gridCol w:w="338"/>
        <w:gridCol w:w="535"/>
        <w:gridCol w:w="1141"/>
        <w:gridCol w:w="217"/>
        <w:gridCol w:w="1135"/>
        <w:gridCol w:w="570"/>
        <w:gridCol w:w="597"/>
        <w:gridCol w:w="1428"/>
        <w:gridCol w:w="1146"/>
        <w:gridCol w:w="43"/>
      </w:tblGrid>
      <w:tr w14:paraId="11302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cantSplit/>
          <w:trHeight w:val="510" w:hRule="exact"/>
          <w:jc w:val="center"/>
        </w:trPr>
        <w:tc>
          <w:tcPr>
            <w:tcW w:w="1428" w:type="dxa"/>
            <w:gridSpan w:val="2"/>
            <w:tcBorders>
              <w:top w:val="single" w:color="auto" w:sz="4" w:space="0"/>
              <w:left w:val="single" w:color="auto" w:sz="4" w:space="0"/>
              <w:bottom w:val="single" w:color="auto" w:sz="4" w:space="0"/>
              <w:right w:val="single" w:color="auto" w:sz="4" w:space="0"/>
            </w:tcBorders>
            <w:vAlign w:val="center"/>
          </w:tcPr>
          <w:p w14:paraId="7A8905D1">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主编姓名</w:t>
            </w:r>
          </w:p>
        </w:tc>
        <w:tc>
          <w:tcPr>
            <w:tcW w:w="1893" w:type="dxa"/>
            <w:gridSpan w:val="3"/>
            <w:tcBorders>
              <w:top w:val="single" w:color="auto" w:sz="4" w:space="0"/>
              <w:left w:val="single" w:color="auto" w:sz="4" w:space="0"/>
              <w:bottom w:val="single" w:color="auto" w:sz="4" w:space="0"/>
              <w:right w:val="single" w:color="auto" w:sz="4" w:space="0"/>
            </w:tcBorders>
            <w:vAlign w:val="center"/>
          </w:tcPr>
          <w:p w14:paraId="5BD78F3C">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eastAsia="宋体"/>
                <w:sz w:val="28"/>
                <w:szCs w:val="28"/>
                <w:lang w:eastAsia="zh-CN"/>
              </w:rPr>
            </w:pPr>
            <w:r>
              <w:rPr>
                <w:rFonts w:hint="eastAsia" w:ascii="仿宋_GB2312" w:hAnsi="Calibri" w:eastAsia="仿宋_GB2312"/>
                <w:sz w:val="28"/>
                <w:szCs w:val="28"/>
                <w:lang w:val="en-US" w:eastAsia="zh-CN"/>
              </w:rPr>
              <w:t>黄卓</w:t>
            </w:r>
          </w:p>
        </w:tc>
        <w:tc>
          <w:tcPr>
            <w:tcW w:w="1135" w:type="dxa"/>
            <w:tcBorders>
              <w:top w:val="single" w:color="auto" w:sz="4" w:space="0"/>
              <w:left w:val="single" w:color="auto" w:sz="4" w:space="0"/>
              <w:bottom w:val="single" w:color="auto" w:sz="4" w:space="0"/>
              <w:right w:val="single" w:color="auto" w:sz="4" w:space="0"/>
            </w:tcBorders>
            <w:vAlign w:val="center"/>
          </w:tcPr>
          <w:p w14:paraId="7060D7A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Calibri" w:hAnsi="Calibri"/>
                <w:sz w:val="18"/>
                <w:szCs w:val="18"/>
              </w:rPr>
            </w:pPr>
            <w:r>
              <w:rPr>
                <w:rFonts w:hint="eastAsia" w:ascii="仿宋_GB2312" w:hAnsi="Calibri" w:eastAsia="仿宋_GB2312"/>
                <w:sz w:val="28"/>
                <w:szCs w:val="20"/>
              </w:rPr>
              <w:t>性  别</w:t>
            </w:r>
          </w:p>
        </w:tc>
        <w:tc>
          <w:tcPr>
            <w:tcW w:w="1167" w:type="dxa"/>
            <w:gridSpan w:val="2"/>
            <w:tcBorders>
              <w:top w:val="single" w:color="auto" w:sz="4" w:space="0"/>
              <w:left w:val="single" w:color="auto" w:sz="4" w:space="0"/>
              <w:bottom w:val="single" w:color="auto" w:sz="4" w:space="0"/>
              <w:right w:val="single" w:color="auto" w:sz="4" w:space="0"/>
            </w:tcBorders>
            <w:vAlign w:val="center"/>
          </w:tcPr>
          <w:p w14:paraId="45880D1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eastAsia="宋体"/>
                <w:sz w:val="28"/>
                <w:szCs w:val="28"/>
                <w:lang w:eastAsia="zh-CN"/>
              </w:rPr>
            </w:pPr>
            <w:r>
              <w:rPr>
                <w:rFonts w:hint="eastAsia" w:ascii="仿宋_GB2312" w:hAnsi="Calibri" w:eastAsia="仿宋_GB2312"/>
                <w:sz w:val="28"/>
                <w:szCs w:val="28"/>
                <w:lang w:val="en-US" w:eastAsia="zh-CN"/>
              </w:rPr>
              <w:t>男</w:t>
            </w:r>
          </w:p>
        </w:tc>
        <w:tc>
          <w:tcPr>
            <w:tcW w:w="1428" w:type="dxa"/>
            <w:tcBorders>
              <w:top w:val="single" w:color="auto" w:sz="4" w:space="0"/>
              <w:left w:val="single" w:color="auto" w:sz="4" w:space="0"/>
              <w:bottom w:val="single" w:color="auto" w:sz="4" w:space="0"/>
              <w:right w:val="single" w:color="auto" w:sz="4" w:space="0"/>
            </w:tcBorders>
            <w:vAlign w:val="center"/>
          </w:tcPr>
          <w:p w14:paraId="3296E59B">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Calibri" w:hAnsi="Calibri"/>
                <w:sz w:val="18"/>
                <w:szCs w:val="18"/>
              </w:rPr>
            </w:pPr>
            <w:r>
              <w:rPr>
                <w:rFonts w:hint="eastAsia" w:ascii="仿宋_GB2312" w:hAnsi="Calibri" w:eastAsia="仿宋_GB2312"/>
                <w:sz w:val="28"/>
                <w:szCs w:val="20"/>
              </w:rPr>
              <w:t>出生年月</w:t>
            </w:r>
          </w:p>
        </w:tc>
        <w:tc>
          <w:tcPr>
            <w:tcW w:w="1146" w:type="dxa"/>
            <w:tcBorders>
              <w:top w:val="single" w:color="auto" w:sz="4" w:space="0"/>
              <w:left w:val="single" w:color="auto" w:sz="4" w:space="0"/>
              <w:bottom w:val="single" w:color="auto" w:sz="4" w:space="0"/>
              <w:right w:val="single" w:color="auto" w:sz="4" w:space="0"/>
            </w:tcBorders>
            <w:vAlign w:val="center"/>
          </w:tcPr>
          <w:p w14:paraId="0EC4B3AE">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eastAsia="宋体"/>
                <w:sz w:val="28"/>
                <w:szCs w:val="28"/>
                <w:lang w:eastAsia="zh-CN"/>
              </w:rPr>
            </w:pPr>
            <w:r>
              <w:rPr>
                <w:rFonts w:hint="eastAsia" w:ascii="宋体" w:hAnsi="宋体" w:eastAsia="宋体" w:cs="宋体"/>
                <w:sz w:val="24"/>
                <w:szCs w:val="24"/>
                <w:lang w:val="en-US" w:eastAsia="zh-CN"/>
              </w:rPr>
              <w:t>1987.07</w:t>
            </w:r>
          </w:p>
        </w:tc>
      </w:tr>
      <w:tr w14:paraId="6355B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cantSplit/>
          <w:trHeight w:val="510" w:hRule="exact"/>
          <w:jc w:val="center"/>
        </w:trPr>
        <w:tc>
          <w:tcPr>
            <w:tcW w:w="1428" w:type="dxa"/>
            <w:gridSpan w:val="2"/>
            <w:tcBorders>
              <w:top w:val="single" w:color="auto" w:sz="4" w:space="0"/>
              <w:left w:val="single" w:color="auto" w:sz="4" w:space="0"/>
              <w:bottom w:val="single" w:color="auto" w:sz="4" w:space="0"/>
              <w:right w:val="single" w:color="auto" w:sz="4" w:space="0"/>
            </w:tcBorders>
            <w:vAlign w:val="center"/>
          </w:tcPr>
          <w:p w14:paraId="72FCA340">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Calibri" w:hAnsi="Calibri"/>
                <w:sz w:val="18"/>
                <w:szCs w:val="18"/>
              </w:rPr>
            </w:pPr>
            <w:r>
              <w:rPr>
                <w:rFonts w:hint="eastAsia" w:ascii="仿宋_GB2312" w:hAnsi="Calibri" w:eastAsia="仿宋_GB2312"/>
                <w:sz w:val="28"/>
                <w:szCs w:val="20"/>
              </w:rPr>
              <w:t>学历学位</w:t>
            </w:r>
          </w:p>
        </w:tc>
        <w:tc>
          <w:tcPr>
            <w:tcW w:w="1893" w:type="dxa"/>
            <w:gridSpan w:val="3"/>
            <w:tcBorders>
              <w:top w:val="single" w:color="auto" w:sz="4" w:space="0"/>
              <w:left w:val="single" w:color="auto" w:sz="4" w:space="0"/>
              <w:bottom w:val="single" w:color="auto" w:sz="4" w:space="0"/>
              <w:right w:val="single" w:color="auto" w:sz="4" w:space="0"/>
            </w:tcBorders>
            <w:vAlign w:val="center"/>
          </w:tcPr>
          <w:p w14:paraId="3896493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eastAsia="宋体"/>
                <w:sz w:val="28"/>
                <w:szCs w:val="28"/>
                <w:lang w:eastAsia="zh-CN"/>
              </w:rPr>
            </w:pPr>
            <w:r>
              <w:rPr>
                <w:rFonts w:hint="eastAsia" w:ascii="仿宋_GB2312" w:hAnsi="Calibri" w:eastAsia="仿宋_GB2312"/>
                <w:sz w:val="28"/>
                <w:szCs w:val="28"/>
                <w:lang w:val="en-US" w:eastAsia="zh-CN"/>
              </w:rPr>
              <w:t>在读博士</w:t>
            </w:r>
          </w:p>
        </w:tc>
        <w:tc>
          <w:tcPr>
            <w:tcW w:w="1135" w:type="dxa"/>
            <w:tcBorders>
              <w:top w:val="single" w:color="auto" w:sz="4" w:space="0"/>
              <w:left w:val="single" w:color="auto" w:sz="4" w:space="0"/>
              <w:bottom w:val="single" w:color="auto" w:sz="4" w:space="0"/>
              <w:right w:val="single" w:color="auto" w:sz="4" w:space="0"/>
            </w:tcBorders>
            <w:vAlign w:val="center"/>
          </w:tcPr>
          <w:p w14:paraId="3959DCE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Calibri" w:hAnsi="Calibri"/>
                <w:sz w:val="18"/>
                <w:szCs w:val="18"/>
              </w:rPr>
            </w:pPr>
            <w:r>
              <w:rPr>
                <w:rFonts w:hint="eastAsia" w:ascii="仿宋_GB2312" w:hAnsi="Calibri" w:eastAsia="仿宋_GB2312"/>
                <w:sz w:val="28"/>
                <w:szCs w:val="20"/>
              </w:rPr>
              <w:t>职  称</w:t>
            </w:r>
          </w:p>
        </w:tc>
        <w:tc>
          <w:tcPr>
            <w:tcW w:w="1167" w:type="dxa"/>
            <w:gridSpan w:val="2"/>
            <w:tcBorders>
              <w:top w:val="single" w:color="auto" w:sz="4" w:space="0"/>
              <w:left w:val="single" w:color="auto" w:sz="4" w:space="0"/>
              <w:bottom w:val="single" w:color="auto" w:sz="4" w:space="0"/>
              <w:right w:val="single" w:color="auto" w:sz="4" w:space="0"/>
            </w:tcBorders>
            <w:vAlign w:val="center"/>
          </w:tcPr>
          <w:p w14:paraId="17F29FC1">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eastAsia="宋体"/>
                <w:sz w:val="28"/>
                <w:szCs w:val="28"/>
                <w:lang w:eastAsia="zh-CN"/>
              </w:rPr>
            </w:pPr>
            <w:r>
              <w:rPr>
                <w:rFonts w:hint="eastAsia" w:ascii="仿宋_GB2312" w:hAnsi="Calibri" w:eastAsia="仿宋_GB2312"/>
                <w:sz w:val="28"/>
                <w:szCs w:val="28"/>
                <w:lang w:val="en-US" w:eastAsia="zh-CN"/>
              </w:rPr>
              <w:t>副教授</w:t>
            </w:r>
          </w:p>
        </w:tc>
        <w:tc>
          <w:tcPr>
            <w:tcW w:w="1428" w:type="dxa"/>
            <w:tcBorders>
              <w:top w:val="single" w:color="auto" w:sz="4" w:space="0"/>
              <w:left w:val="single" w:color="auto" w:sz="4" w:space="0"/>
              <w:bottom w:val="single" w:color="auto" w:sz="4" w:space="0"/>
              <w:right w:val="single" w:color="auto" w:sz="4" w:space="0"/>
            </w:tcBorders>
            <w:vAlign w:val="center"/>
          </w:tcPr>
          <w:p w14:paraId="1BAE430E">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职  务</w:t>
            </w:r>
          </w:p>
        </w:tc>
        <w:tc>
          <w:tcPr>
            <w:tcW w:w="1146" w:type="dxa"/>
            <w:tcBorders>
              <w:top w:val="single" w:color="auto" w:sz="4" w:space="0"/>
              <w:left w:val="single" w:color="auto" w:sz="4" w:space="0"/>
              <w:bottom w:val="single" w:color="auto" w:sz="4" w:space="0"/>
              <w:right w:val="single" w:color="auto" w:sz="4" w:space="0"/>
            </w:tcBorders>
            <w:vAlign w:val="center"/>
          </w:tcPr>
          <w:p w14:paraId="77ECF001">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eastAsia="宋体"/>
                <w:sz w:val="28"/>
                <w:szCs w:val="28"/>
                <w:lang w:val="en-US" w:eastAsia="zh-CN"/>
              </w:rPr>
            </w:pPr>
            <w:r>
              <w:rPr>
                <w:rFonts w:hint="eastAsia" w:ascii="仿宋_GB2312" w:hAnsi="Calibri" w:eastAsia="仿宋_GB2312"/>
                <w:sz w:val="22"/>
                <w:szCs w:val="22"/>
                <w:lang w:val="en-US" w:eastAsia="zh-CN"/>
              </w:rPr>
              <w:t>校长助理</w:t>
            </w:r>
          </w:p>
        </w:tc>
      </w:tr>
      <w:tr w14:paraId="48838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cantSplit/>
          <w:trHeight w:val="510" w:hRule="exact"/>
          <w:jc w:val="center"/>
        </w:trPr>
        <w:tc>
          <w:tcPr>
            <w:tcW w:w="1428" w:type="dxa"/>
            <w:gridSpan w:val="2"/>
            <w:tcBorders>
              <w:top w:val="single" w:color="auto" w:sz="4" w:space="0"/>
              <w:left w:val="single" w:color="auto" w:sz="4" w:space="0"/>
              <w:bottom w:val="single" w:color="auto" w:sz="4" w:space="0"/>
              <w:right w:val="single" w:color="auto" w:sz="4" w:space="0"/>
            </w:tcBorders>
            <w:vAlign w:val="center"/>
          </w:tcPr>
          <w:p w14:paraId="761A9531">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Calibri" w:hAnsi="Calibri" w:eastAsia="仿宋_GB2312"/>
                <w:sz w:val="18"/>
                <w:szCs w:val="18"/>
              </w:rPr>
            </w:pPr>
            <w:r>
              <w:rPr>
                <w:rFonts w:hint="eastAsia" w:ascii="仿宋_GB2312" w:hAnsi="Calibri" w:eastAsia="仿宋_GB2312"/>
                <w:sz w:val="28"/>
                <w:szCs w:val="20"/>
              </w:rPr>
              <w:t>所在部门</w:t>
            </w:r>
          </w:p>
        </w:tc>
        <w:tc>
          <w:tcPr>
            <w:tcW w:w="1893" w:type="dxa"/>
            <w:gridSpan w:val="3"/>
            <w:tcBorders>
              <w:top w:val="single" w:color="auto" w:sz="4" w:space="0"/>
              <w:left w:val="single" w:color="auto" w:sz="4" w:space="0"/>
              <w:bottom w:val="single" w:color="auto" w:sz="4" w:space="0"/>
              <w:right w:val="single" w:color="auto" w:sz="4" w:space="0"/>
            </w:tcBorders>
            <w:vAlign w:val="center"/>
          </w:tcPr>
          <w:p w14:paraId="62D3839C">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eastAsia="仿宋"/>
                <w:sz w:val="28"/>
                <w:szCs w:val="28"/>
                <w:lang w:eastAsia="zh-CN"/>
              </w:rPr>
            </w:pPr>
            <w:r>
              <w:rPr>
                <w:rFonts w:hint="eastAsia" w:ascii="仿宋_GB2312" w:hAnsi="Calibri" w:eastAsia="仿宋_GB2312"/>
                <w:sz w:val="28"/>
                <w:szCs w:val="28"/>
                <w:lang w:val="en-US" w:eastAsia="zh-CN"/>
              </w:rPr>
              <w:t>教务处</w:t>
            </w:r>
          </w:p>
        </w:tc>
        <w:tc>
          <w:tcPr>
            <w:tcW w:w="2302" w:type="dxa"/>
            <w:gridSpan w:val="3"/>
            <w:tcBorders>
              <w:top w:val="single" w:color="auto" w:sz="4" w:space="0"/>
              <w:left w:val="single" w:color="auto" w:sz="4" w:space="0"/>
              <w:bottom w:val="single" w:color="auto" w:sz="4" w:space="0"/>
              <w:right w:val="single" w:color="auto" w:sz="4" w:space="0"/>
            </w:tcBorders>
            <w:vAlign w:val="center"/>
          </w:tcPr>
          <w:p w14:paraId="1FB183EF">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8"/>
              </w:rPr>
            </w:pPr>
            <w:r>
              <w:rPr>
                <w:rFonts w:hint="eastAsia" w:ascii="仿宋_GB2312" w:hAnsi="Calibri" w:eastAsia="仿宋_GB2312"/>
                <w:sz w:val="28"/>
                <w:szCs w:val="28"/>
              </w:rPr>
              <w:t>联系方式</w:t>
            </w:r>
          </w:p>
        </w:tc>
        <w:tc>
          <w:tcPr>
            <w:tcW w:w="2574" w:type="dxa"/>
            <w:gridSpan w:val="2"/>
            <w:tcBorders>
              <w:top w:val="single" w:color="auto" w:sz="4" w:space="0"/>
              <w:left w:val="single" w:color="auto" w:sz="4" w:space="0"/>
              <w:bottom w:val="single" w:color="auto" w:sz="4" w:space="0"/>
              <w:right w:val="single" w:color="auto" w:sz="4" w:space="0"/>
            </w:tcBorders>
            <w:vAlign w:val="center"/>
          </w:tcPr>
          <w:p w14:paraId="7A6DD34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eastAsia="仿宋"/>
                <w:sz w:val="18"/>
                <w:szCs w:val="18"/>
                <w:lang w:val="en-US" w:eastAsia="zh-CN"/>
              </w:rPr>
            </w:pPr>
            <w:r>
              <w:rPr>
                <w:rFonts w:hint="eastAsia" w:ascii="仿宋_GB2312" w:hAnsi="Calibri" w:eastAsia="仿宋_GB2312"/>
                <w:sz w:val="28"/>
                <w:szCs w:val="28"/>
                <w:lang w:val="en-US" w:eastAsia="zh-CN"/>
              </w:rPr>
              <w:t>15631251691</w:t>
            </w:r>
          </w:p>
        </w:tc>
      </w:tr>
      <w:tr w14:paraId="15794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cantSplit/>
          <w:trHeight w:val="2779" w:hRule="atLeast"/>
          <w:jc w:val="center"/>
        </w:trPr>
        <w:tc>
          <w:tcPr>
            <w:tcW w:w="8197" w:type="dxa"/>
            <w:gridSpan w:val="10"/>
            <w:tcBorders>
              <w:top w:val="single" w:color="auto" w:sz="4" w:space="0"/>
              <w:left w:val="single" w:color="auto" w:sz="4" w:space="0"/>
              <w:bottom w:val="single" w:color="auto" w:sz="4" w:space="0"/>
              <w:right w:val="single" w:color="auto" w:sz="4" w:space="0"/>
            </w:tcBorders>
            <w:vAlign w:val="top"/>
          </w:tcPr>
          <w:p w14:paraId="605BA760">
            <w:pPr>
              <w:keepNext w:val="0"/>
              <w:keepLines w:val="0"/>
              <w:suppressLineNumbers w:val="0"/>
              <w:suppressAutoHyphens/>
              <w:spacing w:before="0" w:beforeAutospacing="0" w:after="0" w:afterAutospacing="0" w:line="560" w:lineRule="exact"/>
              <w:ind w:left="0" w:right="0"/>
              <w:rPr>
                <w:rFonts w:hint="eastAsia" w:ascii="仿宋_GB2312" w:hAnsi="Calibri" w:eastAsia="仿宋_GB2312"/>
                <w:sz w:val="28"/>
                <w:szCs w:val="20"/>
                <w:highlight w:val="none"/>
              </w:rPr>
            </w:pPr>
            <w:r>
              <w:rPr>
                <w:rFonts w:hint="eastAsia" w:ascii="仿宋_GB2312" w:hAnsi="Calibri" w:eastAsia="仿宋_GB2312"/>
                <w:sz w:val="28"/>
                <w:szCs w:val="28"/>
                <w:highlight w:val="none"/>
              </w:rPr>
              <w:t>主要教学科研经历、获奖情况及</w:t>
            </w:r>
            <w:r>
              <w:rPr>
                <w:rFonts w:hint="eastAsia" w:ascii="仿宋_GB2312" w:hAnsi="Calibri" w:eastAsia="仿宋_GB2312"/>
                <w:sz w:val="28"/>
                <w:szCs w:val="20"/>
                <w:highlight w:val="none"/>
              </w:rPr>
              <w:t>主编教材情况（教材名称、出版时间、出版社、获奖情况、使用情况等）（</w:t>
            </w:r>
            <w:r>
              <w:rPr>
                <w:rFonts w:hint="default" w:ascii="仿宋_GB2312" w:hAnsi="Calibri" w:eastAsia="仿宋_GB2312"/>
                <w:sz w:val="28"/>
                <w:szCs w:val="20"/>
                <w:highlight w:val="none"/>
              </w:rPr>
              <w:t>3</w:t>
            </w:r>
            <w:r>
              <w:rPr>
                <w:rFonts w:hint="eastAsia" w:ascii="仿宋_GB2312" w:hAnsi="Calibri" w:eastAsia="仿宋_GB2312"/>
                <w:sz w:val="28"/>
                <w:szCs w:val="20"/>
                <w:highlight w:val="none"/>
              </w:rPr>
              <w:t>00字以内）</w:t>
            </w:r>
          </w:p>
          <w:p w14:paraId="732D1FC1">
            <w:pPr>
              <w:keepNext w:val="0"/>
              <w:keepLines w:val="0"/>
              <w:suppressLineNumbers w:val="0"/>
              <w:suppressAutoHyphens/>
              <w:spacing w:before="0" w:beforeAutospacing="0" w:after="0" w:afterAutospacing="0" w:line="560" w:lineRule="exact"/>
              <w:ind w:left="0" w:right="0"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在教科研方面，主持参与省市级课题6项、计算机软件著作国家级3项、教研成果省部级3项。公开发表论文</w:t>
            </w:r>
            <w:r>
              <w:rPr>
                <w:rFonts w:hint="eastAsia" w:ascii="仿宋" w:hAnsi="仿宋" w:cs="仿宋"/>
                <w:b w:val="0"/>
                <w:bCs w:val="0"/>
                <w:color w:val="auto"/>
                <w:sz w:val="24"/>
                <w:szCs w:val="24"/>
                <w:lang w:val="en-US" w:eastAsia="zh-CN"/>
              </w:rPr>
              <w:t>10余</w:t>
            </w:r>
            <w:r>
              <w:rPr>
                <w:rFonts w:hint="eastAsia" w:ascii="仿宋" w:hAnsi="仿宋" w:eastAsia="仿宋" w:cs="仿宋"/>
                <w:b w:val="0"/>
                <w:bCs w:val="0"/>
                <w:color w:val="auto"/>
                <w:sz w:val="24"/>
                <w:szCs w:val="24"/>
                <w:lang w:val="en-US" w:eastAsia="zh-CN"/>
              </w:rPr>
              <w:t>篇。主编教材2本，《</w:t>
            </w:r>
            <w:r>
              <w:rPr>
                <w:rFonts w:hint="default" w:ascii="仿宋" w:hAnsi="仿宋" w:eastAsia="仿宋" w:cs="仿宋"/>
                <w:b w:val="0"/>
                <w:bCs w:val="0"/>
                <w:color w:val="auto"/>
                <w:sz w:val="24"/>
                <w:szCs w:val="24"/>
                <w:lang w:val="en-US" w:eastAsia="zh-CN"/>
              </w:rPr>
              <w:t>小学数学解题指导</w:t>
            </w:r>
            <w:r>
              <w:rPr>
                <w:rFonts w:hint="eastAsia" w:ascii="仿宋" w:hAnsi="仿宋" w:eastAsia="仿宋" w:cs="仿宋"/>
                <w:b w:val="0"/>
                <w:bCs w:val="0"/>
                <w:color w:val="auto"/>
                <w:sz w:val="24"/>
                <w:szCs w:val="24"/>
                <w:lang w:val="en-US" w:eastAsia="zh-CN"/>
              </w:rPr>
              <w:t>》</w:t>
            </w:r>
            <w:r>
              <w:rPr>
                <w:rFonts w:hint="default" w:ascii="仿宋" w:hAnsi="仿宋" w:eastAsia="仿宋" w:cs="仿宋"/>
                <w:b w:val="0"/>
                <w:bCs w:val="0"/>
                <w:color w:val="auto"/>
                <w:sz w:val="24"/>
                <w:szCs w:val="24"/>
                <w:lang w:val="en-US" w:eastAsia="zh-CN"/>
              </w:rPr>
              <w:t>中国言实出版社，2022</w:t>
            </w:r>
            <w:r>
              <w:rPr>
                <w:rFonts w:hint="eastAsia" w:ascii="仿宋" w:hAnsi="仿宋" w:eastAsia="仿宋" w:cs="仿宋"/>
                <w:b w:val="0"/>
                <w:bCs w:val="0"/>
                <w:color w:val="auto"/>
                <w:sz w:val="24"/>
                <w:szCs w:val="24"/>
                <w:lang w:val="en-US" w:eastAsia="zh-CN"/>
              </w:rPr>
              <w:t>年</w:t>
            </w:r>
            <w:r>
              <w:rPr>
                <w:rFonts w:hint="default"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val="en-US" w:eastAsia="zh-CN"/>
              </w:rPr>
              <w:t>月出版</w:t>
            </w:r>
            <w:r>
              <w:rPr>
                <w:rFonts w:hint="eastAsia" w:ascii="仿宋" w:hAnsi="仿宋" w:cs="仿宋"/>
                <w:b w:val="0"/>
                <w:bCs w:val="0"/>
                <w:color w:val="auto"/>
                <w:sz w:val="24"/>
                <w:szCs w:val="24"/>
                <w:lang w:val="en-US" w:eastAsia="zh-CN"/>
              </w:rPr>
              <w:t>；</w:t>
            </w:r>
            <w:r>
              <w:rPr>
                <w:rFonts w:hint="eastAsia" w:ascii="仿宋" w:hAnsi="仿宋" w:eastAsia="仿宋" w:cs="仿宋"/>
                <w:b w:val="0"/>
                <w:bCs w:val="0"/>
                <w:color w:val="auto"/>
                <w:sz w:val="24"/>
                <w:szCs w:val="24"/>
                <w:lang w:val="en-US" w:eastAsia="zh-CN"/>
              </w:rPr>
              <w:t>《</w:t>
            </w:r>
            <w:r>
              <w:rPr>
                <w:rFonts w:hint="default" w:ascii="仿宋" w:hAnsi="仿宋" w:eastAsia="仿宋" w:cs="仿宋"/>
                <w:b w:val="0"/>
                <w:bCs w:val="0"/>
                <w:color w:val="auto"/>
                <w:sz w:val="24"/>
                <w:szCs w:val="24"/>
                <w:lang w:val="en-US" w:eastAsia="zh-CN"/>
              </w:rPr>
              <w:t>筑梦青春 职引未来--新时代大学生职业生涯规划与就业指导</w:t>
            </w:r>
            <w:r>
              <w:rPr>
                <w:rFonts w:hint="eastAsia" w:ascii="仿宋" w:hAnsi="仿宋" w:eastAsia="仿宋" w:cs="仿宋"/>
                <w:b w:val="0"/>
                <w:bCs w:val="0"/>
                <w:color w:val="auto"/>
                <w:sz w:val="24"/>
                <w:szCs w:val="24"/>
                <w:lang w:val="en-US" w:eastAsia="zh-CN"/>
              </w:rPr>
              <w:t>》</w:t>
            </w:r>
            <w:r>
              <w:rPr>
                <w:rFonts w:hint="default" w:ascii="仿宋" w:hAnsi="仿宋" w:eastAsia="仿宋" w:cs="仿宋"/>
                <w:b w:val="0"/>
                <w:bCs w:val="0"/>
                <w:color w:val="auto"/>
                <w:sz w:val="24"/>
                <w:szCs w:val="24"/>
                <w:lang w:val="en-US" w:eastAsia="zh-CN"/>
              </w:rPr>
              <w:t>中国传媒大学出版社，2025</w:t>
            </w:r>
            <w:r>
              <w:rPr>
                <w:rFonts w:hint="eastAsia" w:ascii="仿宋" w:hAnsi="仿宋" w:eastAsia="仿宋" w:cs="仿宋"/>
                <w:b w:val="0"/>
                <w:bCs w:val="0"/>
                <w:color w:val="auto"/>
                <w:sz w:val="24"/>
                <w:szCs w:val="24"/>
                <w:lang w:val="en-US" w:eastAsia="zh-CN"/>
              </w:rPr>
              <w:t>年</w:t>
            </w:r>
            <w:r>
              <w:rPr>
                <w:rFonts w:hint="default" w:ascii="仿宋" w:hAnsi="仿宋" w:eastAsia="仿宋" w:cs="仿宋"/>
                <w:b w:val="0"/>
                <w:bCs w:val="0"/>
                <w:color w:val="auto"/>
                <w:sz w:val="24"/>
                <w:szCs w:val="24"/>
                <w:lang w:val="en-US" w:eastAsia="zh-CN"/>
              </w:rPr>
              <w:t>8</w:t>
            </w:r>
            <w:r>
              <w:rPr>
                <w:rFonts w:hint="eastAsia" w:ascii="仿宋" w:hAnsi="仿宋" w:eastAsia="仿宋" w:cs="仿宋"/>
                <w:b w:val="0"/>
                <w:bCs w:val="0"/>
                <w:color w:val="auto"/>
                <w:sz w:val="24"/>
                <w:szCs w:val="24"/>
                <w:lang w:val="en-US" w:eastAsia="zh-CN"/>
              </w:rPr>
              <w:t>月出版。</w:t>
            </w:r>
          </w:p>
          <w:p w14:paraId="5A5CA4AC">
            <w:pPr>
              <w:keepNext w:val="0"/>
              <w:keepLines w:val="0"/>
              <w:suppressLineNumbers w:val="0"/>
              <w:suppressAutoHyphens/>
              <w:spacing w:before="0" w:beforeAutospacing="0" w:after="0" w:afterAutospacing="0" w:line="560" w:lineRule="exact"/>
              <w:ind w:left="0" w:right="0"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在</w:t>
            </w:r>
            <w:r>
              <w:rPr>
                <w:rFonts w:hint="eastAsia" w:ascii="仿宋" w:hAnsi="仿宋" w:cs="仿宋"/>
                <w:b w:val="0"/>
                <w:bCs w:val="0"/>
                <w:color w:val="auto"/>
                <w:sz w:val="24"/>
                <w:szCs w:val="24"/>
                <w:lang w:val="en-US" w:eastAsia="zh-CN"/>
              </w:rPr>
              <w:t>教学、</w:t>
            </w:r>
            <w:r>
              <w:rPr>
                <w:rFonts w:hint="eastAsia" w:ascii="仿宋" w:hAnsi="仿宋" w:eastAsia="仿宋" w:cs="仿宋"/>
                <w:b w:val="0"/>
                <w:bCs w:val="0"/>
                <w:color w:val="auto"/>
                <w:sz w:val="24"/>
                <w:szCs w:val="24"/>
                <w:lang w:val="en-US" w:eastAsia="zh-CN"/>
              </w:rPr>
              <w:t>学科竞赛方面，教师竞赛获奖2项</w:t>
            </w:r>
            <w:r>
              <w:rPr>
                <w:rFonts w:hint="eastAsia" w:ascii="仿宋" w:hAnsi="仿宋" w:cs="仿宋"/>
                <w:b w:val="0"/>
                <w:bCs w:val="0"/>
                <w:color w:val="auto"/>
                <w:sz w:val="24"/>
                <w:szCs w:val="24"/>
                <w:lang w:val="en-US" w:eastAsia="zh-CN"/>
              </w:rPr>
              <w:t>；</w:t>
            </w:r>
            <w:r>
              <w:rPr>
                <w:rFonts w:hint="eastAsia" w:ascii="仿宋" w:hAnsi="仿宋" w:eastAsia="仿宋" w:cs="仿宋"/>
                <w:b w:val="0"/>
                <w:bCs w:val="0"/>
                <w:color w:val="auto"/>
                <w:sz w:val="24"/>
                <w:szCs w:val="24"/>
                <w:lang w:val="en-US" w:eastAsia="zh-CN"/>
              </w:rPr>
              <w:t>指导学生参加《</w:t>
            </w:r>
            <w:r>
              <w:rPr>
                <w:rFonts w:hint="default" w:ascii="仿宋" w:hAnsi="仿宋" w:eastAsia="仿宋" w:cs="仿宋"/>
                <w:b w:val="0"/>
                <w:bCs w:val="0"/>
                <w:color w:val="auto"/>
                <w:sz w:val="24"/>
                <w:szCs w:val="24"/>
                <w:lang w:val="en-US" w:eastAsia="zh-CN"/>
              </w:rPr>
              <w:t>“学创杯”全国大学生创业综合模拟大赛</w:t>
            </w:r>
            <w:r>
              <w:rPr>
                <w:rFonts w:hint="eastAsia" w:ascii="仿宋" w:hAnsi="仿宋" w:eastAsia="仿宋" w:cs="仿宋"/>
                <w:b w:val="0"/>
                <w:bCs w:val="0"/>
                <w:color w:val="auto"/>
                <w:sz w:val="24"/>
                <w:szCs w:val="24"/>
                <w:lang w:val="en-US" w:eastAsia="zh-CN"/>
              </w:rPr>
              <w:t>》荣获一等奖1项、二等奖2项；指导学生参加《</w:t>
            </w:r>
            <w:r>
              <w:rPr>
                <w:rFonts w:hint="default" w:ascii="仿宋" w:hAnsi="仿宋" w:eastAsia="仿宋" w:cs="仿宋"/>
                <w:b w:val="0"/>
                <w:bCs w:val="0"/>
                <w:color w:val="auto"/>
                <w:sz w:val="24"/>
                <w:szCs w:val="24"/>
                <w:lang w:val="en-US" w:eastAsia="zh-CN"/>
              </w:rPr>
              <w:t>“挑战杯”河北省大学生创业计划竞赛</w:t>
            </w:r>
            <w:r>
              <w:rPr>
                <w:rFonts w:hint="eastAsia" w:ascii="仿宋" w:hAnsi="仿宋" w:eastAsia="仿宋" w:cs="仿宋"/>
                <w:b w:val="0"/>
                <w:bCs w:val="0"/>
                <w:color w:val="auto"/>
                <w:sz w:val="24"/>
                <w:szCs w:val="24"/>
                <w:lang w:val="en-US" w:eastAsia="zh-CN"/>
              </w:rPr>
              <w:t>》荣获二等奖1项、三等奖1项；指导学生参加其它竞赛，荣获一等奖1项、二等奖2项、三等奖1项。</w:t>
            </w:r>
          </w:p>
          <w:p w14:paraId="023CCFD6">
            <w:pPr>
              <w:keepNext w:val="0"/>
              <w:keepLines w:val="0"/>
              <w:suppressLineNumbers w:val="0"/>
              <w:suppressAutoHyphens/>
              <w:spacing w:before="0" w:beforeAutospacing="0" w:after="0" w:afterAutospacing="0" w:line="560" w:lineRule="exact"/>
              <w:ind w:left="0" w:right="0" w:firstLine="480" w:firstLineChars="200"/>
              <w:rPr>
                <w:rFonts w:hint="eastAsia" w:ascii="仿宋" w:hAnsi="仿宋" w:cs="仿宋"/>
                <w:b w:val="0"/>
                <w:bCs w:val="0"/>
                <w:color w:val="auto"/>
                <w:sz w:val="24"/>
                <w:szCs w:val="24"/>
                <w:lang w:val="en-US" w:eastAsia="zh-CN"/>
              </w:rPr>
            </w:pPr>
            <w:r>
              <w:rPr>
                <w:rFonts w:hint="eastAsia" w:ascii="仿宋" w:hAnsi="仿宋" w:cs="仿宋"/>
                <w:b w:val="0"/>
                <w:bCs w:val="0"/>
                <w:color w:val="auto"/>
                <w:sz w:val="24"/>
                <w:szCs w:val="24"/>
                <w:lang w:val="en-US" w:eastAsia="zh-CN"/>
              </w:rPr>
              <w:t>在个人荣誉方面，</w:t>
            </w:r>
            <w:r>
              <w:rPr>
                <w:rFonts w:hint="eastAsia" w:ascii="仿宋" w:hAnsi="仿宋" w:eastAsia="仿宋" w:cs="仿宋"/>
                <w:b w:val="0"/>
                <w:bCs w:val="0"/>
                <w:color w:val="auto"/>
                <w:sz w:val="24"/>
                <w:szCs w:val="24"/>
                <w:lang w:val="en-US" w:eastAsia="zh-CN"/>
              </w:rPr>
              <w:t>荣获“河北省课程思政教学名师”、“河北省创新创业教学名师”、“保定市优秀科技工作者”称号</w:t>
            </w:r>
            <w:r>
              <w:rPr>
                <w:rFonts w:hint="eastAsia" w:ascii="仿宋" w:hAnsi="仿宋" w:cs="仿宋"/>
                <w:b w:val="0"/>
                <w:bCs w:val="0"/>
                <w:color w:val="auto"/>
                <w:sz w:val="24"/>
                <w:szCs w:val="24"/>
                <w:lang w:val="en-US" w:eastAsia="zh-CN"/>
              </w:rPr>
              <w:t>。</w:t>
            </w:r>
          </w:p>
          <w:p w14:paraId="71628703">
            <w:pPr>
              <w:keepNext w:val="0"/>
              <w:keepLines w:val="0"/>
              <w:suppressLineNumbers w:val="0"/>
              <w:suppressAutoHyphens/>
              <w:spacing w:before="0" w:beforeAutospacing="0" w:after="0" w:afterAutospacing="0" w:line="560" w:lineRule="exact"/>
              <w:ind w:left="0" w:right="0" w:firstLine="480" w:firstLineChars="200"/>
              <w:rPr>
                <w:rFonts w:hint="eastAsia" w:ascii="仿宋" w:hAnsi="仿宋" w:cs="仿宋"/>
                <w:b w:val="0"/>
                <w:bCs w:val="0"/>
                <w:color w:val="auto"/>
                <w:sz w:val="24"/>
                <w:szCs w:val="24"/>
                <w:lang w:val="en-US" w:eastAsia="zh-CN"/>
              </w:rPr>
            </w:pPr>
          </w:p>
        </w:tc>
      </w:tr>
      <w:tr w14:paraId="4AB7E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8240" w:type="dxa"/>
            <w:gridSpan w:val="11"/>
            <w:tcBorders>
              <w:top w:val="single" w:color="auto" w:sz="4" w:space="0"/>
              <w:left w:val="single" w:color="auto" w:sz="4" w:space="0"/>
              <w:bottom w:val="single" w:color="auto" w:sz="4" w:space="0"/>
              <w:right w:val="single" w:color="auto" w:sz="4" w:space="0"/>
            </w:tcBorders>
            <w:vAlign w:val="center"/>
          </w:tcPr>
          <w:p w14:paraId="7D95F22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0"/>
              </w:rPr>
            </w:pPr>
            <w:r>
              <w:rPr>
                <w:rFonts w:hint="eastAsia" w:ascii="仿宋_GB2312" w:hAnsi="Calibri" w:eastAsia="仿宋_GB2312"/>
                <w:sz w:val="28"/>
                <w:szCs w:val="20"/>
              </w:rPr>
              <w:t>其他编者情况（按教材作者署名顺序排列）</w:t>
            </w:r>
          </w:p>
        </w:tc>
      </w:tr>
      <w:tr w14:paraId="0C0F0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370BD1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sz w:val="18"/>
                <w:szCs w:val="18"/>
              </w:rPr>
            </w:pPr>
            <w:r>
              <w:rPr>
                <w:rFonts w:hint="eastAsia" w:ascii="仿宋_GB2312" w:hAnsi="Calibri" w:eastAsia="仿宋_GB2312"/>
                <w:sz w:val="28"/>
                <w:szCs w:val="20"/>
              </w:rPr>
              <w:t>姓名</w:t>
            </w:r>
          </w:p>
        </w:tc>
        <w:tc>
          <w:tcPr>
            <w:tcW w:w="873" w:type="dxa"/>
            <w:gridSpan w:val="2"/>
            <w:tcBorders>
              <w:top w:val="single" w:color="auto" w:sz="4" w:space="0"/>
              <w:left w:val="single" w:color="auto" w:sz="4" w:space="0"/>
              <w:bottom w:val="single" w:color="auto" w:sz="4" w:space="0"/>
              <w:right w:val="single" w:color="auto" w:sz="4" w:space="0"/>
            </w:tcBorders>
            <w:vAlign w:val="center"/>
          </w:tcPr>
          <w:p w14:paraId="28A7C96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年龄</w:t>
            </w:r>
          </w:p>
        </w:tc>
        <w:tc>
          <w:tcPr>
            <w:tcW w:w="1141" w:type="dxa"/>
            <w:tcBorders>
              <w:top w:val="single" w:color="auto" w:sz="4" w:space="0"/>
              <w:left w:val="single" w:color="auto" w:sz="4" w:space="0"/>
              <w:bottom w:val="single" w:color="auto" w:sz="4" w:space="0"/>
              <w:right w:val="single" w:color="auto" w:sz="4" w:space="0"/>
            </w:tcBorders>
            <w:vAlign w:val="center"/>
          </w:tcPr>
          <w:p w14:paraId="2501AFB0">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职称</w:t>
            </w:r>
          </w:p>
        </w:tc>
        <w:tc>
          <w:tcPr>
            <w:tcW w:w="1922" w:type="dxa"/>
            <w:gridSpan w:val="3"/>
            <w:tcBorders>
              <w:top w:val="single" w:color="auto" w:sz="4" w:space="0"/>
              <w:left w:val="single" w:color="auto" w:sz="4" w:space="0"/>
              <w:bottom w:val="single" w:color="auto" w:sz="4" w:space="0"/>
              <w:right w:val="single" w:color="auto" w:sz="4" w:space="0"/>
            </w:tcBorders>
            <w:vAlign w:val="center"/>
          </w:tcPr>
          <w:p w14:paraId="5583C4C8">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工作单位</w:t>
            </w:r>
          </w:p>
        </w:tc>
        <w:tc>
          <w:tcPr>
            <w:tcW w:w="3214" w:type="dxa"/>
            <w:gridSpan w:val="4"/>
            <w:tcBorders>
              <w:top w:val="single" w:color="auto" w:sz="4" w:space="0"/>
              <w:left w:val="single" w:color="auto" w:sz="4" w:space="0"/>
              <w:bottom w:val="single" w:color="auto" w:sz="4" w:space="0"/>
              <w:right w:val="single" w:color="auto" w:sz="4" w:space="0"/>
            </w:tcBorders>
            <w:vAlign w:val="center"/>
          </w:tcPr>
          <w:p w14:paraId="1365425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sz w:val="18"/>
                <w:szCs w:val="18"/>
              </w:rPr>
            </w:pPr>
            <w:r>
              <w:rPr>
                <w:rFonts w:hint="eastAsia" w:ascii="仿宋_GB2312" w:hAnsi="Calibri" w:eastAsia="仿宋_GB2312"/>
                <w:sz w:val="28"/>
                <w:szCs w:val="20"/>
              </w:rPr>
              <w:t>承担编写或制作的任务</w:t>
            </w:r>
          </w:p>
        </w:tc>
      </w:tr>
      <w:tr w14:paraId="00C4E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0" w:hRule="exac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F247165">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杨春梅</w:t>
            </w:r>
          </w:p>
        </w:tc>
        <w:tc>
          <w:tcPr>
            <w:tcW w:w="873" w:type="dxa"/>
            <w:gridSpan w:val="2"/>
            <w:tcBorders>
              <w:top w:val="single" w:color="auto" w:sz="4" w:space="0"/>
              <w:left w:val="single" w:color="auto" w:sz="4" w:space="0"/>
              <w:bottom w:val="single" w:color="auto" w:sz="4" w:space="0"/>
              <w:right w:val="single" w:color="auto" w:sz="4" w:space="0"/>
            </w:tcBorders>
            <w:vAlign w:val="center"/>
          </w:tcPr>
          <w:p w14:paraId="4157A7D2">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8"/>
                <w:lang w:val="en-US" w:eastAsia="zh-CN"/>
              </w:rPr>
            </w:pPr>
            <w:r>
              <w:rPr>
                <w:rFonts w:hint="eastAsia" w:ascii="仿宋_GB2312" w:hAnsi="Calibri" w:eastAsia="仿宋_GB2312"/>
                <w:sz w:val="28"/>
                <w:szCs w:val="28"/>
                <w:lang w:val="en-US" w:eastAsia="zh-CN"/>
              </w:rPr>
              <w:t>43</w:t>
            </w:r>
          </w:p>
        </w:tc>
        <w:tc>
          <w:tcPr>
            <w:tcW w:w="1141" w:type="dxa"/>
            <w:tcBorders>
              <w:top w:val="single" w:color="auto" w:sz="4" w:space="0"/>
              <w:left w:val="single" w:color="auto" w:sz="4" w:space="0"/>
              <w:bottom w:val="single" w:color="auto" w:sz="4" w:space="0"/>
              <w:right w:val="single" w:color="auto" w:sz="4" w:space="0"/>
            </w:tcBorders>
            <w:vAlign w:val="center"/>
          </w:tcPr>
          <w:p w14:paraId="400073D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副教授</w:t>
            </w:r>
          </w:p>
        </w:tc>
        <w:tc>
          <w:tcPr>
            <w:tcW w:w="1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61427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保定理工学院</w:t>
            </w:r>
          </w:p>
        </w:tc>
        <w:tc>
          <w:tcPr>
            <w:tcW w:w="32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A22561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负责教材实践活动整理，</w:t>
            </w:r>
          </w:p>
          <w:p w14:paraId="2289842B">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第四、五章编写</w:t>
            </w:r>
          </w:p>
        </w:tc>
      </w:tr>
      <w:tr w14:paraId="3311BE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4" w:hRule="exac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75F23FC">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eastAsia="zh-CN"/>
              </w:rPr>
            </w:pPr>
            <w:r>
              <w:rPr>
                <w:rFonts w:hint="eastAsia" w:ascii="仿宋_GB2312" w:hAnsi="Calibri" w:eastAsia="仿宋_GB2312"/>
                <w:sz w:val="28"/>
                <w:szCs w:val="28"/>
                <w:highlight w:val="none"/>
                <w:lang w:eastAsia="zh-CN"/>
              </w:rPr>
              <w:t>王燕南</w:t>
            </w:r>
          </w:p>
        </w:tc>
        <w:tc>
          <w:tcPr>
            <w:tcW w:w="8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CDBC21">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34</w:t>
            </w:r>
          </w:p>
        </w:tc>
        <w:tc>
          <w:tcPr>
            <w:tcW w:w="1141" w:type="dxa"/>
            <w:tcBorders>
              <w:top w:val="single" w:color="auto" w:sz="4" w:space="0"/>
              <w:left w:val="single" w:color="auto" w:sz="4" w:space="0"/>
              <w:bottom w:val="single" w:color="auto" w:sz="4" w:space="0"/>
              <w:right w:val="single" w:color="auto" w:sz="4" w:space="0"/>
            </w:tcBorders>
            <w:shd w:val="clear" w:color="auto" w:fill="auto"/>
            <w:vAlign w:val="center"/>
          </w:tcPr>
          <w:p w14:paraId="5997DF4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未评级</w:t>
            </w:r>
          </w:p>
        </w:tc>
        <w:tc>
          <w:tcPr>
            <w:tcW w:w="1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DBA7A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贺阳教育集团学生服务中心</w:t>
            </w:r>
          </w:p>
        </w:tc>
        <w:tc>
          <w:tcPr>
            <w:tcW w:w="32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440381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负责教材整体规划，</w:t>
            </w:r>
          </w:p>
          <w:p w14:paraId="23A13A6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前言、第一章编写</w:t>
            </w:r>
          </w:p>
        </w:tc>
      </w:tr>
      <w:tr w14:paraId="1F03B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50" w:hRule="exac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510E718">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eastAsia="zh-CN"/>
              </w:rPr>
            </w:pPr>
            <w:r>
              <w:rPr>
                <w:rFonts w:hint="eastAsia" w:ascii="仿宋_GB2312" w:hAnsi="Calibri" w:eastAsia="仿宋_GB2312"/>
                <w:sz w:val="28"/>
                <w:szCs w:val="28"/>
                <w:highlight w:val="none"/>
                <w:lang w:eastAsia="zh-CN"/>
              </w:rPr>
              <w:t>于凇波</w:t>
            </w:r>
          </w:p>
        </w:tc>
        <w:tc>
          <w:tcPr>
            <w:tcW w:w="873" w:type="dxa"/>
            <w:gridSpan w:val="2"/>
            <w:tcBorders>
              <w:top w:val="single" w:color="auto" w:sz="4" w:space="0"/>
              <w:left w:val="single" w:color="auto" w:sz="4" w:space="0"/>
              <w:bottom w:val="single" w:color="auto" w:sz="4" w:space="0"/>
              <w:right w:val="single" w:color="auto" w:sz="4" w:space="0"/>
            </w:tcBorders>
            <w:vAlign w:val="center"/>
          </w:tcPr>
          <w:p w14:paraId="6921A3FE">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43</w:t>
            </w:r>
          </w:p>
        </w:tc>
        <w:tc>
          <w:tcPr>
            <w:tcW w:w="1141" w:type="dxa"/>
            <w:tcBorders>
              <w:top w:val="single" w:color="auto" w:sz="4" w:space="0"/>
              <w:left w:val="single" w:color="auto" w:sz="4" w:space="0"/>
              <w:bottom w:val="single" w:color="auto" w:sz="4" w:space="0"/>
              <w:right w:val="single" w:color="auto" w:sz="4" w:space="0"/>
            </w:tcBorders>
            <w:vAlign w:val="center"/>
          </w:tcPr>
          <w:p w14:paraId="37A9B2F1">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副教授</w:t>
            </w:r>
          </w:p>
        </w:tc>
        <w:tc>
          <w:tcPr>
            <w:tcW w:w="1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396C7B">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保定理工学院</w:t>
            </w:r>
          </w:p>
        </w:tc>
        <w:tc>
          <w:tcPr>
            <w:tcW w:w="32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2E9942A">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负责教材内容审核，</w:t>
            </w:r>
          </w:p>
          <w:p w14:paraId="4039495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第二、三章编写</w:t>
            </w:r>
          </w:p>
        </w:tc>
      </w:tr>
      <w:tr w14:paraId="47FCC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4" w:hRule="exac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0659586">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eastAsia="zh-CN"/>
              </w:rPr>
            </w:pPr>
            <w:r>
              <w:rPr>
                <w:rFonts w:hint="eastAsia" w:ascii="仿宋_GB2312" w:hAnsi="Calibri" w:eastAsia="仿宋_GB2312"/>
                <w:sz w:val="28"/>
                <w:szCs w:val="28"/>
                <w:lang w:eastAsia="zh-CN"/>
              </w:rPr>
              <w:t>任婧</w:t>
            </w:r>
          </w:p>
        </w:tc>
        <w:tc>
          <w:tcPr>
            <w:tcW w:w="873" w:type="dxa"/>
            <w:gridSpan w:val="2"/>
            <w:tcBorders>
              <w:top w:val="single" w:color="auto" w:sz="4" w:space="0"/>
              <w:left w:val="single" w:color="auto" w:sz="4" w:space="0"/>
              <w:bottom w:val="single" w:color="auto" w:sz="4" w:space="0"/>
              <w:right w:val="single" w:color="auto" w:sz="4" w:space="0"/>
            </w:tcBorders>
            <w:vAlign w:val="center"/>
          </w:tcPr>
          <w:p w14:paraId="0B38A67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8"/>
                <w:lang w:val="en-US" w:eastAsia="zh-CN"/>
              </w:rPr>
            </w:pPr>
            <w:r>
              <w:rPr>
                <w:rFonts w:hint="eastAsia" w:ascii="仿宋_GB2312" w:hAnsi="Calibri" w:eastAsia="仿宋_GB2312"/>
                <w:sz w:val="28"/>
                <w:szCs w:val="28"/>
                <w:lang w:val="en-US" w:eastAsia="zh-CN"/>
              </w:rPr>
              <w:t>28</w:t>
            </w:r>
          </w:p>
        </w:tc>
        <w:tc>
          <w:tcPr>
            <w:tcW w:w="1141" w:type="dxa"/>
            <w:tcBorders>
              <w:top w:val="single" w:color="auto" w:sz="4" w:space="0"/>
              <w:left w:val="single" w:color="auto" w:sz="4" w:space="0"/>
              <w:bottom w:val="single" w:color="auto" w:sz="4" w:space="0"/>
              <w:right w:val="single" w:color="auto" w:sz="4" w:space="0"/>
            </w:tcBorders>
            <w:vAlign w:val="center"/>
          </w:tcPr>
          <w:p w14:paraId="45FCED0F">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未评级</w:t>
            </w:r>
          </w:p>
        </w:tc>
        <w:tc>
          <w:tcPr>
            <w:tcW w:w="1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050BEB2">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highlight w:val="none"/>
                <w:lang w:val="en-US" w:eastAsia="zh-CN"/>
              </w:rPr>
              <w:t>贺阳教育集团</w:t>
            </w:r>
            <w:r>
              <w:rPr>
                <w:rFonts w:hint="eastAsia" w:ascii="仿宋_GB2312" w:hAnsi="Calibri" w:eastAsia="仿宋_GB2312"/>
                <w:sz w:val="28"/>
                <w:szCs w:val="28"/>
                <w:lang w:val="en-US" w:eastAsia="zh-CN"/>
              </w:rPr>
              <w:t>学生服务中心</w:t>
            </w:r>
          </w:p>
        </w:tc>
        <w:tc>
          <w:tcPr>
            <w:tcW w:w="32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B7D7EB">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负责教材产教融合整理，</w:t>
            </w:r>
          </w:p>
          <w:p w14:paraId="581D600B">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第六章编写</w:t>
            </w:r>
          </w:p>
        </w:tc>
      </w:tr>
      <w:tr w14:paraId="241C6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0" w:hRule="exac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5BEE95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eastAsia="zh-CN"/>
              </w:rPr>
            </w:pPr>
            <w:r>
              <w:rPr>
                <w:rFonts w:hint="eastAsia" w:ascii="仿宋_GB2312" w:hAnsi="Calibri" w:eastAsia="仿宋_GB2312"/>
                <w:sz w:val="28"/>
                <w:szCs w:val="28"/>
                <w:lang w:eastAsia="zh-CN"/>
              </w:rPr>
              <w:t>李倩</w:t>
            </w:r>
          </w:p>
        </w:tc>
        <w:tc>
          <w:tcPr>
            <w:tcW w:w="873" w:type="dxa"/>
            <w:gridSpan w:val="2"/>
            <w:tcBorders>
              <w:top w:val="single" w:color="auto" w:sz="4" w:space="0"/>
              <w:left w:val="single" w:color="auto" w:sz="4" w:space="0"/>
              <w:bottom w:val="single" w:color="auto" w:sz="4" w:space="0"/>
              <w:right w:val="single" w:color="auto" w:sz="4" w:space="0"/>
            </w:tcBorders>
            <w:vAlign w:val="center"/>
          </w:tcPr>
          <w:p w14:paraId="68CEE8D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43</w:t>
            </w:r>
          </w:p>
        </w:tc>
        <w:tc>
          <w:tcPr>
            <w:tcW w:w="1141" w:type="dxa"/>
            <w:tcBorders>
              <w:top w:val="single" w:color="auto" w:sz="4" w:space="0"/>
              <w:left w:val="single" w:color="auto" w:sz="4" w:space="0"/>
              <w:bottom w:val="single" w:color="auto" w:sz="4" w:space="0"/>
              <w:right w:val="single" w:color="auto" w:sz="4" w:space="0"/>
            </w:tcBorders>
            <w:vAlign w:val="center"/>
          </w:tcPr>
          <w:p w14:paraId="032D39E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讲师</w:t>
            </w:r>
          </w:p>
        </w:tc>
        <w:tc>
          <w:tcPr>
            <w:tcW w:w="1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E81A02">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highlight w:val="none"/>
                <w:lang w:val="en-US" w:eastAsia="zh-CN"/>
              </w:rPr>
              <w:t>保定理工学院</w:t>
            </w:r>
          </w:p>
        </w:tc>
        <w:tc>
          <w:tcPr>
            <w:tcW w:w="32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8C4B20E">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负责教材课程思政元素整理，第七章编写</w:t>
            </w:r>
          </w:p>
        </w:tc>
      </w:tr>
      <w:tr w14:paraId="070F5E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18" w:hRule="exac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CF053C2">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eastAsia="zh-CN"/>
              </w:rPr>
            </w:pPr>
            <w:r>
              <w:rPr>
                <w:rFonts w:hint="eastAsia" w:ascii="仿宋_GB2312" w:hAnsi="Calibri" w:eastAsia="仿宋_GB2312"/>
                <w:sz w:val="28"/>
                <w:szCs w:val="28"/>
                <w:lang w:eastAsia="zh-CN"/>
              </w:rPr>
              <w:t>杨月圆</w:t>
            </w:r>
          </w:p>
        </w:tc>
        <w:tc>
          <w:tcPr>
            <w:tcW w:w="873" w:type="dxa"/>
            <w:gridSpan w:val="2"/>
            <w:tcBorders>
              <w:top w:val="single" w:color="auto" w:sz="4" w:space="0"/>
              <w:left w:val="single" w:color="auto" w:sz="4" w:space="0"/>
              <w:bottom w:val="single" w:color="auto" w:sz="4" w:space="0"/>
              <w:right w:val="single" w:color="auto" w:sz="4" w:space="0"/>
            </w:tcBorders>
            <w:vAlign w:val="center"/>
          </w:tcPr>
          <w:p w14:paraId="541C2F23">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仿宋_GB2312" w:hAnsi="Calibri" w:eastAsia="仿宋_GB2312"/>
                <w:sz w:val="28"/>
                <w:szCs w:val="28"/>
                <w:lang w:val="en-US" w:eastAsia="zh-CN"/>
              </w:rPr>
            </w:pPr>
            <w:r>
              <w:rPr>
                <w:rFonts w:hint="eastAsia" w:ascii="仿宋_GB2312" w:hAnsi="Calibri" w:eastAsia="仿宋_GB2312"/>
                <w:sz w:val="28"/>
                <w:szCs w:val="28"/>
                <w:lang w:val="en-US" w:eastAsia="zh-CN"/>
              </w:rPr>
              <w:t>34</w:t>
            </w:r>
          </w:p>
        </w:tc>
        <w:tc>
          <w:tcPr>
            <w:tcW w:w="1141" w:type="dxa"/>
            <w:tcBorders>
              <w:top w:val="single" w:color="auto" w:sz="4" w:space="0"/>
              <w:left w:val="single" w:color="auto" w:sz="4" w:space="0"/>
              <w:bottom w:val="single" w:color="auto" w:sz="4" w:space="0"/>
              <w:right w:val="single" w:color="auto" w:sz="4" w:space="0"/>
            </w:tcBorders>
            <w:vAlign w:val="center"/>
          </w:tcPr>
          <w:p w14:paraId="67F13869">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讲师</w:t>
            </w:r>
          </w:p>
        </w:tc>
        <w:tc>
          <w:tcPr>
            <w:tcW w:w="1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ECBCDE">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highlight w:val="none"/>
                <w:lang w:val="en-US" w:eastAsia="zh-CN"/>
              </w:rPr>
              <w:t>保定理工学院</w:t>
            </w:r>
          </w:p>
        </w:tc>
        <w:tc>
          <w:tcPr>
            <w:tcW w:w="32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DBC887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负责教材学生案例整理，</w:t>
            </w:r>
          </w:p>
          <w:p w14:paraId="42EA7932">
            <w:pPr>
              <w:keepNext w:val="0"/>
              <w:keepLines w:val="0"/>
              <w:pageBreakBefore w:val="0"/>
              <w:widowControl w:val="0"/>
              <w:numPr>
                <w:ilvl w:val="0"/>
                <w:numId w:val="0"/>
              </w:numPr>
              <w:suppressLineNumbers w:val="0"/>
              <w:suppressAutoHyphens/>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Calibri" w:eastAsia="仿宋_GB2312"/>
                <w:sz w:val="28"/>
                <w:szCs w:val="28"/>
                <w:lang w:val="en-US" w:eastAsia="zh-CN"/>
              </w:rPr>
            </w:pPr>
            <w:r>
              <w:rPr>
                <w:rFonts w:hint="eastAsia" w:ascii="仿宋_GB2312" w:hAnsi="Calibri" w:eastAsia="仿宋_GB2312"/>
                <w:sz w:val="28"/>
                <w:szCs w:val="28"/>
                <w:lang w:val="en-US" w:eastAsia="zh-CN"/>
              </w:rPr>
              <w:t>第八章编写</w:t>
            </w:r>
          </w:p>
        </w:tc>
      </w:tr>
      <w:tr w14:paraId="7CB7E8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009" w:hRule="atLeast"/>
          <w:jc w:val="center"/>
        </w:trPr>
        <w:tc>
          <w:tcPr>
            <w:tcW w:w="8240" w:type="dxa"/>
            <w:gridSpan w:val="11"/>
            <w:tcBorders>
              <w:top w:val="single" w:color="auto" w:sz="4" w:space="0"/>
              <w:left w:val="single" w:color="auto" w:sz="4" w:space="0"/>
              <w:bottom w:val="single" w:color="auto" w:sz="4" w:space="0"/>
              <w:right w:val="single" w:color="auto" w:sz="4" w:space="0"/>
            </w:tcBorders>
            <w:vAlign w:val="top"/>
          </w:tcPr>
          <w:p w14:paraId="3F489871">
            <w:pPr>
              <w:keepNext w:val="0"/>
              <w:keepLines w:val="0"/>
              <w:suppressLineNumbers w:val="0"/>
              <w:suppressAutoHyphens/>
              <w:spacing w:before="0" w:beforeAutospacing="0" w:after="0" w:afterAutospacing="0" w:line="560" w:lineRule="exact"/>
              <w:ind w:left="0" w:right="0"/>
              <w:rPr>
                <w:rFonts w:hint="eastAsia" w:ascii="仿宋_GB2312" w:hAnsi="Calibri" w:eastAsia="仿宋_GB2312"/>
                <w:sz w:val="28"/>
                <w:szCs w:val="20"/>
              </w:rPr>
            </w:pPr>
            <w:r>
              <w:rPr>
                <w:rFonts w:hint="eastAsia" w:ascii="仿宋_GB2312" w:hAnsi="Calibri" w:eastAsia="仿宋_GB2312"/>
                <w:sz w:val="28"/>
                <w:szCs w:val="20"/>
              </w:rPr>
              <w:t>教材编写团队情况（</w:t>
            </w:r>
            <w:r>
              <w:rPr>
                <w:rFonts w:hint="default" w:ascii="仿宋_GB2312" w:hAnsi="Calibri" w:eastAsia="仿宋_GB2312"/>
                <w:sz w:val="28"/>
                <w:szCs w:val="20"/>
              </w:rPr>
              <w:t>5</w:t>
            </w:r>
            <w:r>
              <w:rPr>
                <w:rFonts w:hint="eastAsia" w:ascii="仿宋_GB2312" w:hAnsi="Calibri" w:eastAsia="仿宋_GB2312"/>
                <w:sz w:val="28"/>
                <w:szCs w:val="20"/>
              </w:rPr>
              <w:t>00字以内）</w:t>
            </w:r>
          </w:p>
          <w:p w14:paraId="546A3F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57" w:afterLines="50" w:afterAutospacing="0" w:line="400" w:lineRule="exact"/>
              <w:ind w:left="0" w:right="0"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color w:val="auto"/>
                <w:sz w:val="28"/>
                <w:szCs w:val="28"/>
                <w:lang w:val="en-US" w:eastAsia="zh-CN"/>
              </w:rPr>
              <w:t>杨春梅：</w:t>
            </w:r>
            <w:r>
              <w:rPr>
                <w:rFonts w:hint="eastAsia" w:ascii="仿宋" w:hAnsi="仿宋" w:eastAsia="仿宋" w:cs="仿宋"/>
                <w:b w:val="0"/>
                <w:bCs w:val="0"/>
                <w:color w:val="auto"/>
                <w:sz w:val="28"/>
                <w:szCs w:val="28"/>
                <w:lang w:val="en-US" w:eastAsia="zh-CN"/>
              </w:rPr>
              <w:t>主讲《职业生涯规划与就业指导》课程，获得高校就业创业指导课程教师教学大赛省级三等奖，主持厅局级课题 4 项，公开发表相关论文5篇。连续三年指导学生参加职业生涯规划类比赛，获得一等奖1项，二等奖9项，三等奖7项，并被评为“优秀指导教师”。</w:t>
            </w:r>
          </w:p>
          <w:p w14:paraId="63CB11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57" w:afterLines="50" w:afterAutospacing="0" w:line="400" w:lineRule="exact"/>
              <w:ind w:left="0" w:right="0" w:firstLine="562" w:firstLineChars="200"/>
              <w:jc w:val="both"/>
              <w:textAlignment w:val="auto"/>
              <w:rPr>
                <w:rFonts w:hint="eastAsia" w:ascii="仿宋" w:hAnsi="仿宋" w:eastAsia="仿宋" w:cs="仿宋"/>
                <w:b/>
                <w:bCs/>
                <w:sz w:val="28"/>
                <w:szCs w:val="28"/>
                <w:highlight w:val="yellow"/>
                <w:lang w:val="en-US" w:eastAsia="zh-CN"/>
              </w:rPr>
            </w:pPr>
            <w:r>
              <w:rPr>
                <w:rFonts w:hint="eastAsia" w:ascii="仿宋" w:hAnsi="仿宋" w:eastAsia="仿宋" w:cs="仿宋"/>
                <w:b/>
                <w:bCs/>
                <w:sz w:val="28"/>
                <w:szCs w:val="28"/>
                <w:highlight w:val="none"/>
                <w:lang w:val="en-US" w:eastAsia="zh-CN"/>
              </w:rPr>
              <w:t>王燕南：</w:t>
            </w:r>
            <w:r>
              <w:rPr>
                <w:rFonts w:hint="eastAsia" w:ascii="仿宋" w:hAnsi="仿宋" w:eastAsia="仿宋" w:cs="仿宋"/>
                <w:b w:val="0"/>
                <w:bCs w:val="0"/>
                <w:color w:val="auto"/>
                <w:sz w:val="28"/>
                <w:szCs w:val="28"/>
                <w:lang w:val="en-US" w:eastAsia="zh-CN"/>
              </w:rPr>
              <w:t>兼职讲授《职业生涯规划与就业指导》课程</w:t>
            </w:r>
            <w:r>
              <w:rPr>
                <w:rFonts w:hint="eastAsia" w:ascii="仿宋" w:hAnsi="仿宋" w:cs="仿宋"/>
                <w:b w:val="0"/>
                <w:bCs w:val="0"/>
                <w:color w:val="auto"/>
                <w:sz w:val="28"/>
                <w:szCs w:val="28"/>
                <w:lang w:val="en-US" w:eastAsia="zh-CN"/>
              </w:rPr>
              <w:t>，</w:t>
            </w:r>
            <w:r>
              <w:rPr>
                <w:rFonts w:hint="eastAsia" w:ascii="仿宋" w:hAnsi="仿宋" w:eastAsia="仿宋" w:cs="仿宋"/>
                <w:b w:val="0"/>
                <w:bCs w:val="0"/>
                <w:color w:val="auto"/>
                <w:sz w:val="28"/>
                <w:szCs w:val="28"/>
                <w:lang w:val="en-US" w:eastAsia="zh-CN"/>
              </w:rPr>
              <w:t>北大MBA硕士，美国康奈尔大学食品科学硕士，现任贺阳教育集团学生服务中心总监</w:t>
            </w:r>
            <w:r>
              <w:rPr>
                <w:rFonts w:hint="eastAsia" w:ascii="仿宋" w:hAnsi="仿宋" w:cs="仿宋"/>
                <w:b w:val="0"/>
                <w:bCs w:val="0"/>
                <w:color w:val="auto"/>
                <w:sz w:val="28"/>
                <w:szCs w:val="28"/>
                <w:lang w:val="en-US" w:eastAsia="zh-CN"/>
              </w:rPr>
              <w:t>。</w:t>
            </w:r>
            <w:r>
              <w:rPr>
                <w:rFonts w:hint="eastAsia" w:ascii="仿宋" w:hAnsi="仿宋" w:eastAsia="仿宋" w:cs="仿宋"/>
                <w:b w:val="0"/>
                <w:bCs w:val="0"/>
                <w:color w:val="auto"/>
                <w:sz w:val="28"/>
                <w:szCs w:val="28"/>
                <w:lang w:val="en-US" w:eastAsia="zh-CN"/>
              </w:rPr>
              <w:t>主持开发的企业项目1000余项，北大创业训练营特聘讲师，全球富润U30创业先锋，新锐女性创业项目金奖（2020年），第十届全国应用型人才综合技能大赛一等奖（2024年），金砖国家职业技能大赛智能视觉感知与技术国际总决赛三等奖（2024年）</w:t>
            </w:r>
            <w:r>
              <w:rPr>
                <w:rFonts w:hint="eastAsia" w:ascii="仿宋" w:hAnsi="仿宋" w:cs="仿宋"/>
                <w:b w:val="0"/>
                <w:bCs w:val="0"/>
                <w:color w:val="auto"/>
                <w:sz w:val="28"/>
                <w:szCs w:val="28"/>
                <w:lang w:val="en-US" w:eastAsia="zh-CN"/>
              </w:rPr>
              <w:t>。</w:t>
            </w:r>
            <w:r>
              <w:rPr>
                <w:rFonts w:hint="eastAsia" w:ascii="仿宋" w:hAnsi="仿宋" w:eastAsia="仿宋" w:cs="仿宋"/>
                <w:b w:val="0"/>
                <w:bCs w:val="0"/>
                <w:color w:val="auto"/>
                <w:sz w:val="28"/>
                <w:szCs w:val="28"/>
                <w:lang w:val="en-US" w:eastAsia="zh-CN"/>
              </w:rPr>
              <w:t>2020-2024年曾担任CCFA中国特许连锁经营协会青年理事。知名餐饮品牌联合创始人，连锁门店超千家。</w:t>
            </w:r>
          </w:p>
          <w:p w14:paraId="00EF51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57" w:afterLines="50" w:afterAutospacing="0" w:line="400" w:lineRule="exact"/>
              <w:ind w:left="0" w:right="0" w:firstLine="562"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highlight w:val="none"/>
                <w:lang w:val="en-US" w:eastAsia="zh-CN"/>
              </w:rPr>
              <w:t>于凇波</w:t>
            </w:r>
            <w:r>
              <w:rPr>
                <w:rFonts w:hint="eastAsia" w:ascii="仿宋" w:hAnsi="仿宋" w:eastAsia="仿宋" w:cs="仿宋"/>
                <w:sz w:val="28"/>
                <w:szCs w:val="28"/>
                <w:highlight w:val="none"/>
                <w:lang w:val="en-US" w:eastAsia="zh-CN"/>
              </w:rPr>
              <w:t>：</w:t>
            </w:r>
            <w:r>
              <w:rPr>
                <w:rFonts w:hint="eastAsia" w:ascii="仿宋" w:hAnsi="仿宋" w:eastAsia="仿宋" w:cs="仿宋"/>
                <w:b w:val="0"/>
                <w:bCs w:val="0"/>
                <w:color w:val="auto"/>
                <w:sz w:val="28"/>
                <w:szCs w:val="28"/>
                <w:lang w:val="en-US" w:eastAsia="zh-CN"/>
              </w:rPr>
              <w:t>兼职讲授《职业生涯规划与就业指导》课程，现任保定理工学院校长</w:t>
            </w:r>
            <w:r>
              <w:rPr>
                <w:rFonts w:hint="eastAsia" w:ascii="仿宋" w:hAnsi="仿宋" w:cs="仿宋"/>
                <w:b w:val="0"/>
                <w:bCs w:val="0"/>
                <w:color w:val="auto"/>
                <w:sz w:val="28"/>
                <w:szCs w:val="28"/>
                <w:lang w:val="en-US" w:eastAsia="zh-CN"/>
              </w:rPr>
              <w:t>。</w:t>
            </w:r>
            <w:r>
              <w:rPr>
                <w:rFonts w:hint="eastAsia" w:ascii="仿宋" w:hAnsi="仿宋" w:eastAsia="仿宋" w:cs="仿宋"/>
                <w:b w:val="0"/>
                <w:bCs w:val="0"/>
                <w:color w:val="auto"/>
                <w:sz w:val="28"/>
                <w:szCs w:val="28"/>
                <w:lang w:val="en-US" w:eastAsia="zh-CN"/>
              </w:rPr>
              <w:t>主参编教材5部</w:t>
            </w:r>
            <w:r>
              <w:rPr>
                <w:rFonts w:hint="eastAsia" w:ascii="仿宋" w:hAnsi="仿宋" w:cs="仿宋"/>
                <w:b w:val="0"/>
                <w:bCs w:val="0"/>
                <w:color w:val="auto"/>
                <w:sz w:val="28"/>
                <w:szCs w:val="28"/>
                <w:lang w:val="en-US" w:eastAsia="zh-CN"/>
              </w:rPr>
              <w:t>，</w:t>
            </w:r>
            <w:r>
              <w:rPr>
                <w:rFonts w:hint="eastAsia" w:ascii="仿宋" w:hAnsi="仿宋" w:eastAsia="仿宋" w:cs="仿宋"/>
                <w:b w:val="0"/>
                <w:bCs w:val="0"/>
                <w:color w:val="auto"/>
                <w:sz w:val="28"/>
                <w:szCs w:val="28"/>
                <w:lang w:val="en-US" w:eastAsia="zh-CN"/>
              </w:rPr>
              <w:t>主持及主研河北省教育厅项目3项、河北省人社厅项目2项、主持以及参与全国计算机基础教育协会项目6项、校级教改项目4项</w:t>
            </w:r>
            <w:r>
              <w:rPr>
                <w:rFonts w:hint="eastAsia" w:ascii="仿宋" w:hAnsi="仿宋" w:cs="仿宋"/>
                <w:b w:val="0"/>
                <w:bCs w:val="0"/>
                <w:color w:val="auto"/>
                <w:sz w:val="28"/>
                <w:szCs w:val="28"/>
                <w:lang w:val="en-US" w:eastAsia="zh-CN"/>
              </w:rPr>
              <w:t>；</w:t>
            </w:r>
            <w:r>
              <w:rPr>
                <w:rFonts w:hint="eastAsia" w:ascii="仿宋" w:hAnsi="仿宋" w:eastAsia="仿宋" w:cs="仿宋"/>
                <w:b w:val="0"/>
                <w:bCs w:val="0"/>
                <w:color w:val="auto"/>
                <w:sz w:val="28"/>
                <w:szCs w:val="28"/>
                <w:lang w:val="en-US" w:eastAsia="zh-CN"/>
              </w:rPr>
              <w:t>获得河北省教育教学成果</w:t>
            </w:r>
            <w:r>
              <w:rPr>
                <w:rFonts w:hint="eastAsia" w:ascii="仿宋" w:hAnsi="仿宋" w:cs="仿宋"/>
                <w:b w:val="0"/>
                <w:bCs w:val="0"/>
                <w:color w:val="auto"/>
                <w:sz w:val="28"/>
                <w:szCs w:val="28"/>
                <w:lang w:val="en-US" w:eastAsia="zh-CN"/>
              </w:rPr>
              <w:t>三</w:t>
            </w:r>
            <w:r>
              <w:rPr>
                <w:rFonts w:hint="eastAsia" w:ascii="仿宋" w:hAnsi="仿宋" w:eastAsia="仿宋" w:cs="仿宋"/>
                <w:b w:val="0"/>
                <w:bCs w:val="0"/>
                <w:color w:val="auto"/>
                <w:sz w:val="28"/>
                <w:szCs w:val="28"/>
                <w:lang w:val="en-US" w:eastAsia="zh-CN"/>
              </w:rPr>
              <w:t>等奖一项（第一完成人）、发表论文30余篇，核心期刊4篇。</w:t>
            </w:r>
          </w:p>
          <w:p w14:paraId="0649BC6F">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157" w:beforeLines="50" w:beforeAutospacing="0" w:after="157" w:afterLines="50" w:afterAutospacing="0" w:line="400" w:lineRule="exact"/>
              <w:ind w:left="0" w:right="0" w:firstLine="562"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highlight w:val="none"/>
                <w:lang w:val="en-US" w:eastAsia="zh-CN"/>
              </w:rPr>
              <w:t>任靖</w:t>
            </w:r>
            <w:r>
              <w:rPr>
                <w:rFonts w:hint="eastAsia" w:ascii="仿宋" w:hAnsi="仿宋" w:eastAsia="仿宋" w:cs="仿宋"/>
                <w:sz w:val="28"/>
                <w:szCs w:val="28"/>
                <w:highlight w:val="none"/>
                <w:lang w:val="en-US" w:eastAsia="zh-CN"/>
              </w:rPr>
              <w:t>：</w:t>
            </w:r>
            <w:r>
              <w:rPr>
                <w:rFonts w:hint="eastAsia" w:ascii="仿宋" w:hAnsi="仿宋" w:eastAsia="仿宋" w:cs="仿宋"/>
                <w:b w:val="0"/>
                <w:bCs w:val="0"/>
                <w:color w:val="auto"/>
                <w:kern w:val="2"/>
                <w:sz w:val="28"/>
                <w:szCs w:val="28"/>
                <w:lang w:val="en-US" w:eastAsia="zh-CN" w:bidi="ar-SA"/>
              </w:rPr>
              <w:t>兼职讲授《职业生涯规划与就业指导》课程，现任贺阳教育集团学生服务中心主任。指导学生参加《全国应用型人才综合技能大赛”职场秀”职业生涯规划大赛》荣获二等奖，被评为“优秀指导教师”。</w:t>
            </w:r>
          </w:p>
          <w:p w14:paraId="21C558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57" w:afterLines="50" w:afterAutospacing="0" w:line="400" w:lineRule="exact"/>
              <w:ind w:left="0" w:right="0" w:firstLine="562" w:firstLineChars="200"/>
              <w:jc w:val="both"/>
              <w:textAlignment w:val="auto"/>
              <w:rPr>
                <w:rFonts w:hint="eastAsia" w:ascii="仿宋" w:hAnsi="仿宋" w:eastAsia="仿宋" w:cs="仿宋"/>
                <w:spacing w:val="-6"/>
                <w:sz w:val="28"/>
                <w:szCs w:val="28"/>
                <w:lang w:val="en-US" w:eastAsia="zh-CN"/>
              </w:rPr>
            </w:pPr>
            <w:r>
              <w:rPr>
                <w:rFonts w:hint="eastAsia" w:ascii="仿宋" w:hAnsi="仿宋" w:eastAsia="仿宋" w:cs="仿宋"/>
                <w:b/>
                <w:bCs/>
                <w:sz w:val="28"/>
                <w:szCs w:val="28"/>
                <w:lang w:val="en-US" w:eastAsia="zh-CN"/>
              </w:rPr>
              <w:t>李倩</w:t>
            </w:r>
            <w:r>
              <w:rPr>
                <w:rFonts w:hint="eastAsia" w:ascii="仿宋" w:hAnsi="仿宋" w:eastAsia="仿宋" w:cs="仿宋"/>
                <w:sz w:val="28"/>
                <w:szCs w:val="28"/>
                <w:lang w:val="en-US" w:eastAsia="zh-CN"/>
              </w:rPr>
              <w:t>：</w:t>
            </w:r>
            <w:r>
              <w:rPr>
                <w:rFonts w:hint="eastAsia" w:ascii="仿宋" w:hAnsi="仿宋" w:eastAsia="仿宋" w:cs="仿宋"/>
                <w:kern w:val="0"/>
                <w:sz w:val="28"/>
                <w:szCs w:val="28"/>
                <w:lang w:val="en-US" w:eastAsia="zh-CN" w:bidi="ar-SA"/>
              </w:rPr>
              <w:t>主讲《职业生涯规划与就业指导》课程。主持参与省市级课题4项、校级教改课题3项、校级科研课题2项。连续</w:t>
            </w:r>
            <w:r>
              <w:rPr>
                <w:rFonts w:hint="eastAsia" w:ascii="仿宋" w:hAnsi="仿宋" w:cs="仿宋"/>
                <w:kern w:val="0"/>
                <w:sz w:val="28"/>
                <w:szCs w:val="28"/>
                <w:lang w:val="en-US" w:eastAsia="zh-CN" w:bidi="ar-SA"/>
              </w:rPr>
              <w:t>四</w:t>
            </w:r>
            <w:r>
              <w:rPr>
                <w:rFonts w:hint="eastAsia" w:ascii="仿宋" w:hAnsi="仿宋" w:eastAsia="仿宋" w:cs="仿宋"/>
                <w:kern w:val="0"/>
                <w:sz w:val="28"/>
                <w:szCs w:val="28"/>
                <w:lang w:val="en-US" w:eastAsia="zh-CN" w:bidi="ar-SA"/>
              </w:rPr>
              <w:t>年指导学生参加全国应用型人才综合技能大赛，以及职业生涯规划类比赛，荣获二等奖</w:t>
            </w:r>
            <w:r>
              <w:rPr>
                <w:rFonts w:hint="eastAsia" w:ascii="仿宋" w:hAnsi="仿宋" w:cs="仿宋"/>
                <w:kern w:val="0"/>
                <w:sz w:val="28"/>
                <w:szCs w:val="28"/>
                <w:lang w:val="en-US" w:eastAsia="zh-CN" w:bidi="ar-SA"/>
              </w:rPr>
              <w:t>4</w:t>
            </w:r>
            <w:r>
              <w:rPr>
                <w:rFonts w:hint="eastAsia" w:ascii="仿宋" w:hAnsi="仿宋" w:eastAsia="仿宋" w:cs="仿宋"/>
                <w:kern w:val="0"/>
                <w:sz w:val="28"/>
                <w:szCs w:val="28"/>
                <w:lang w:val="en-US" w:eastAsia="zh-CN" w:bidi="ar-SA"/>
              </w:rPr>
              <w:t>项、三等奖</w:t>
            </w:r>
            <w:r>
              <w:rPr>
                <w:rFonts w:hint="eastAsia" w:ascii="仿宋" w:hAnsi="仿宋" w:cs="仿宋"/>
                <w:kern w:val="0"/>
                <w:sz w:val="28"/>
                <w:szCs w:val="28"/>
                <w:lang w:val="en-US" w:eastAsia="zh-CN" w:bidi="ar-SA"/>
              </w:rPr>
              <w:t>3</w:t>
            </w:r>
            <w:r>
              <w:rPr>
                <w:rFonts w:hint="eastAsia" w:ascii="仿宋" w:hAnsi="仿宋" w:eastAsia="仿宋" w:cs="仿宋"/>
                <w:kern w:val="0"/>
                <w:sz w:val="28"/>
                <w:szCs w:val="28"/>
                <w:lang w:val="en-US" w:eastAsia="zh-CN" w:bidi="ar-SA"/>
              </w:rPr>
              <w:t>项</w:t>
            </w:r>
            <w:r>
              <w:rPr>
                <w:rFonts w:hint="eastAsia" w:ascii="仿宋" w:hAnsi="仿宋" w:cs="仿宋"/>
                <w:kern w:val="0"/>
                <w:sz w:val="28"/>
                <w:szCs w:val="28"/>
                <w:lang w:val="en-US" w:eastAsia="zh-CN" w:bidi="ar-SA"/>
              </w:rPr>
              <w:t>，</w:t>
            </w:r>
            <w:r>
              <w:rPr>
                <w:rFonts w:hint="eastAsia" w:ascii="仿宋" w:hAnsi="仿宋" w:eastAsia="仿宋" w:cs="仿宋"/>
                <w:kern w:val="0"/>
                <w:sz w:val="28"/>
                <w:szCs w:val="28"/>
                <w:lang w:val="en-US" w:eastAsia="zh-CN" w:bidi="ar-SA"/>
              </w:rPr>
              <w:t>被评为“优秀指导教师”。</w:t>
            </w:r>
          </w:p>
          <w:p w14:paraId="612C82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57" w:afterLines="50" w:afterAutospacing="0" w:line="400" w:lineRule="exact"/>
              <w:ind w:left="0" w:right="0" w:firstLine="562"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杨月圆：</w:t>
            </w:r>
            <w:r>
              <w:rPr>
                <w:rFonts w:hint="eastAsia" w:ascii="仿宋" w:hAnsi="仿宋" w:eastAsia="仿宋" w:cs="仿宋"/>
                <w:kern w:val="0"/>
                <w:sz w:val="28"/>
                <w:szCs w:val="28"/>
                <w:lang w:val="en-US" w:eastAsia="zh-CN" w:bidi="ar-SA"/>
              </w:rPr>
              <w:t>主讲《职业生涯规划与就业指导》课程，获得生涯发展教育与就业指导课程教师教学大赛省级三等奖，连续五年指导学生参加全国应用型人才综合技能大赛，以及职业生涯规划类比赛</w:t>
            </w:r>
            <w:r>
              <w:rPr>
                <w:rFonts w:hint="eastAsia" w:ascii="仿宋" w:hAnsi="仿宋" w:cs="仿宋"/>
                <w:kern w:val="0"/>
                <w:sz w:val="28"/>
                <w:szCs w:val="28"/>
                <w:lang w:val="en-US" w:eastAsia="zh-CN" w:bidi="ar-SA"/>
              </w:rPr>
              <w:t>荣获</w:t>
            </w:r>
            <w:r>
              <w:rPr>
                <w:rFonts w:hint="eastAsia" w:ascii="仿宋" w:hAnsi="仿宋" w:eastAsia="仿宋" w:cs="仿宋"/>
                <w:kern w:val="0"/>
                <w:sz w:val="28"/>
                <w:szCs w:val="28"/>
                <w:lang w:val="en-US" w:eastAsia="zh-CN" w:bidi="ar-SA"/>
              </w:rPr>
              <w:t>一等奖4项，二等奖6项，三等奖5项，被评为“优秀指导教师”。</w:t>
            </w:r>
          </w:p>
          <w:p w14:paraId="0CFE61D1">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400" w:lineRule="exact"/>
              <w:ind w:left="0" w:right="0" w:firstLine="480" w:firstLineChars="200"/>
              <w:textAlignment w:val="auto"/>
              <w:rPr>
                <w:rFonts w:hint="eastAsia" w:ascii="仿宋" w:hAnsi="仿宋" w:eastAsia="仿宋" w:cs="仿宋"/>
                <w:sz w:val="24"/>
                <w:szCs w:val="24"/>
                <w:lang w:val="en-US" w:eastAsia="zh-CN"/>
              </w:rPr>
            </w:pPr>
          </w:p>
        </w:tc>
      </w:tr>
    </w:tbl>
    <w:p w14:paraId="2F3BA139">
      <w:pPr>
        <w:suppressAutoHyphens/>
        <w:spacing w:line="560" w:lineRule="exact"/>
        <w:jc w:val="left"/>
        <w:rPr>
          <w:rFonts w:hint="eastAsia" w:eastAsia="微软雅黑"/>
          <w:sz w:val="32"/>
          <w:szCs w:val="32"/>
        </w:rPr>
      </w:pPr>
      <w:r>
        <w:rPr>
          <w:rFonts w:hint="eastAsia" w:ascii="黑体" w:hAnsi="黑体" w:eastAsia="黑体"/>
          <w:sz w:val="32"/>
          <w:szCs w:val="32"/>
        </w:rPr>
        <w:t>四、教材主要内容</w:t>
      </w:r>
    </w:p>
    <w:tbl>
      <w:tblPr>
        <w:tblStyle w:val="4"/>
        <w:tblW w:w="8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5"/>
      </w:tblGrid>
      <w:tr w14:paraId="777D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6" w:hRule="atLeast"/>
          <w:jc w:val="center"/>
        </w:trPr>
        <w:tc>
          <w:tcPr>
            <w:tcW w:w="8275" w:type="dxa"/>
            <w:tcBorders>
              <w:top w:val="single" w:color="auto" w:sz="4" w:space="0"/>
              <w:left w:val="single" w:color="auto" w:sz="4" w:space="0"/>
              <w:bottom w:val="single" w:color="auto" w:sz="4" w:space="0"/>
              <w:right w:val="single" w:color="auto" w:sz="4" w:space="0"/>
            </w:tcBorders>
            <w:vAlign w:val="top"/>
          </w:tcPr>
          <w:p w14:paraId="764BC32E">
            <w:pPr>
              <w:keepNext w:val="0"/>
              <w:keepLines w:val="0"/>
              <w:pageBreakBefore w:val="0"/>
              <w:widowControl w:val="0"/>
              <w:suppressLineNumbers w:val="0"/>
              <w:suppressAutoHyphens/>
              <w:kinsoku/>
              <w:wordWrap/>
              <w:overflowPunct/>
              <w:topLinePunct w:val="0"/>
              <w:autoSpaceDE/>
              <w:autoSpaceDN/>
              <w:bidi w:val="0"/>
              <w:adjustRightInd/>
              <w:snapToGrid/>
              <w:spacing w:before="157" w:beforeLines="50" w:beforeAutospacing="0" w:after="157" w:afterLines="50" w:afterAutospacing="0" w:line="460" w:lineRule="exact"/>
              <w:ind w:left="0" w:right="0" w:firstLine="643" w:firstLineChars="200"/>
              <w:textAlignment w:val="auto"/>
              <w:rPr>
                <w:rFonts w:hint="eastAsia"/>
                <w:b/>
                <w:bCs/>
                <w:sz w:val="32"/>
                <w:szCs w:val="32"/>
              </w:rPr>
            </w:pPr>
            <w:r>
              <w:rPr>
                <w:rFonts w:hint="eastAsia"/>
                <w:b/>
                <w:bCs/>
                <w:sz w:val="32"/>
                <w:szCs w:val="32"/>
                <w:lang w:val="en-US" w:eastAsia="zh-CN"/>
              </w:rPr>
              <w:t>1.</w:t>
            </w:r>
            <w:r>
              <w:rPr>
                <w:rFonts w:hint="eastAsia"/>
                <w:b/>
                <w:bCs/>
                <w:sz w:val="32"/>
                <w:szCs w:val="32"/>
              </w:rPr>
              <w:t>教材简介</w:t>
            </w:r>
          </w:p>
          <w:p w14:paraId="4020D5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b/>
                <w:bCs/>
                <w:sz w:val="28"/>
                <w:szCs w:val="28"/>
                <w:lang w:eastAsia="zh-CN"/>
              </w:rPr>
            </w:pPr>
            <w:r>
              <w:rPr>
                <w:rFonts w:hint="eastAsia"/>
                <w:b/>
                <w:bCs/>
                <w:sz w:val="28"/>
                <w:szCs w:val="28"/>
                <w:lang w:val="en-US" w:eastAsia="zh-CN"/>
              </w:rPr>
              <w:t>1.1</w:t>
            </w:r>
            <w:r>
              <w:rPr>
                <w:rFonts w:hint="eastAsia"/>
                <w:b/>
                <w:bCs/>
                <w:sz w:val="28"/>
                <w:szCs w:val="28"/>
                <w:lang w:eastAsia="zh-CN"/>
              </w:rPr>
              <w:t>编写初衷</w:t>
            </w:r>
          </w:p>
          <w:p w14:paraId="AD3E47E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480" w:firstLineChars="200"/>
              <w:textAlignment w:val="auto"/>
              <w:rPr>
                <w:rFonts w:hint="eastAsia"/>
                <w:sz w:val="28"/>
                <w:szCs w:val="28"/>
                <w:lang w:val="en-US" w:eastAsia="zh-CN"/>
              </w:rPr>
            </w:pPr>
            <w:r>
              <w:rPr>
                <w:rFonts w:hint="default"/>
                <w:lang w:val="en-US"/>
              </w:rPr>
              <w:t xml:space="preserve"> </w:t>
            </w:r>
            <w:r>
              <w:rPr>
                <w:rFonts w:hint="eastAsia"/>
                <w:sz w:val="28"/>
                <w:szCs w:val="28"/>
                <w:lang w:val="en-US" w:eastAsia="zh-CN"/>
              </w:rPr>
              <w:t>在国家实施“就业优先战略”、推动“促进高质量充分就业”的政策导向下，民办高校作为应用型人才培养的重要阵地，更需紧跟政策步伐，将人才培养与社会需求精准对接。我校作为一所扎根区域发展的民办院校，始终以“培养适配市场、具备实战能力的应用型人才”为核心目标，深刻认识到课程体系与教材建设对学生就业竞争力的关键支撑作用。</w:t>
            </w:r>
          </w:p>
          <w:p w14:paraId="EA45F1F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 xml:space="preserve">我校自2008年开设《职业生涯规划与就业指导》课程后，长期以来受限于传统教学模式，逐渐暴露出就业痛点：从学校层面看，课程以理论讲授为主，缺乏“重实践、强应用”的特色，与企业真实岗位需求脱节，难以提供针对性的就业指导；从学生层面看，多数学生面临“自我认知模糊，不知如何匹配职业方向”“缺乏职业探索方法，对行业动态了解不足”“求职技能薄弱，面试与简历撰写能力欠缺”等问题，在就业市场中竞争力不足。这些痛点制约了学生的职业发展，因此，推进《职业生涯规划与就业指导》课程改革并开发校本教材，既是响应国家就业政策的具体实践，也是弥补教学短板、破解学生就业难题的关键举措。 </w:t>
            </w:r>
          </w:p>
          <w:p w14:paraId="14DBC60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2024年，我校开启《职业生涯规划与就业指导》课程改革，从开课学期分配、理论实践比例、课程内容重构、学生案例选取、实践活动开展等多方面进行全面调整。课程设置坚持以学生为中心，将过去两学年的课程改为从大一至大三的三学年不间断的课程体系，实施“0.5+1+1”学分设置，为大四学生实习和就业提前打下基础；坚持理论知识“必需、够用”的原则，注重学生应用性和实用性的培养，每学期增设与课程内容对接的实践项目，增加学生实战能力；课程内容从学生求职就业、职业发展的需要出发，以“如何做”为核心设置八个项目驱动，每个项目涵盖任务导入、真实案例分析、项目实训等模块；按照项目需求从各学院征集优秀毕业生的成长案例进行精选，纳入课程讲授和校本教材中。</w:t>
            </w:r>
          </w:p>
          <w:p w14:paraId="551972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为了跟进课程改革，我校专门成立由学校领导、相关处室领导、二级学院教学副院长、职业指导课教师组成就业指导教材委员会。历经一年多的编写，2025年8月正式出版《筑梦青春职引未来——新时代大学生职业生涯规划与就业指导》校本教材。该教材</w:t>
            </w:r>
            <w:r>
              <w:rPr>
                <w:rFonts w:hint="eastAsia" w:ascii="仿宋" w:hAnsi="仿宋" w:eastAsia="仿宋" w:cs="仿宋"/>
                <w:sz w:val="28"/>
                <w:szCs w:val="28"/>
                <w:lang w:val="en-US" w:eastAsia="zh-CN"/>
              </w:rPr>
              <w:t>结合本校办学特色与学生实际需求自主编写，</w:t>
            </w:r>
            <w:r>
              <w:rPr>
                <w:rFonts w:hint="eastAsia" w:ascii="仿宋" w:hAnsi="仿宋" w:cs="仿宋"/>
                <w:sz w:val="28"/>
                <w:szCs w:val="28"/>
                <w:lang w:val="en-US" w:eastAsia="zh-CN"/>
              </w:rPr>
              <w:t>在</w:t>
            </w:r>
            <w:r>
              <w:rPr>
                <w:rFonts w:hint="eastAsia"/>
                <w:sz w:val="28"/>
                <w:szCs w:val="28"/>
                <w:lang w:val="en-US" w:eastAsia="zh-CN"/>
              </w:rPr>
              <w:t>课程体系、教学内容、教学方法等方面均与课程改革同步，具有时代性同步、个性化指导、应用性凸显、实践案例丰富、前瞻性思考的特点，为学校培养更多与社会需求高度匹配的应用型人才提供有力支撑。</w:t>
            </w:r>
          </w:p>
          <w:p w14:paraId="3C8974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default"/>
                <w:b/>
                <w:bCs/>
                <w:sz w:val="28"/>
                <w:szCs w:val="28"/>
                <w:lang w:val="en-US" w:eastAsia="zh-CN"/>
              </w:rPr>
            </w:pPr>
            <w:r>
              <w:rPr>
                <w:rFonts w:hint="eastAsia"/>
                <w:b/>
                <w:bCs/>
                <w:sz w:val="28"/>
                <w:szCs w:val="28"/>
                <w:lang w:val="en-US" w:eastAsia="zh-CN"/>
              </w:rPr>
              <w:t>1.2教学指导价值</w:t>
            </w:r>
          </w:p>
          <w:p w14:paraId="9E3779B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b/>
                <w:bCs/>
                <w:sz w:val="28"/>
                <w:szCs w:val="28"/>
                <w:lang w:val="en-US" w:eastAsia="zh-CN"/>
              </w:rPr>
            </w:pPr>
            <w:r>
              <w:rPr>
                <w:rFonts w:hint="eastAsia"/>
                <w:b/>
                <w:bCs/>
                <w:sz w:val="28"/>
                <w:szCs w:val="28"/>
                <w:lang w:val="en-US" w:eastAsia="zh-CN"/>
              </w:rPr>
              <w:t>1.2.1对民办院校的教学指导价值：锚定应用型人才培养定位</w:t>
            </w:r>
          </w:p>
          <w:p w14:paraId="9F74B58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作为民办院校特色校本教材，其核心价值在于紧密衔接民办教育“重实践、强适配”的人才培养目标，为院校构建适合自身定位的就业指导课程体系提供支撑。教材结合当下社会经济发展趋势与就业市场动态，深入解读新兴行业、职业及最新就业政策，既能帮助院校补齐传统课程“理论脱离实际”的短板，又能通过实践案例、项目实训等模块，将教学内容与区域产业需求、企业岗位标准精准对接，推动院校就业指导课程从“通用化”向“特色化、应用型”转型，最终助力院校培养出更符合市场需求的适配型人才，强化民办院校在应用型人才培养领域的核心竞争力。</w:t>
            </w:r>
          </w:p>
          <w:p w14:paraId="ED4AA04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b/>
                <w:bCs/>
                <w:sz w:val="28"/>
                <w:szCs w:val="28"/>
                <w:lang w:val="en-US" w:eastAsia="zh-CN"/>
              </w:rPr>
            </w:pPr>
            <w:r>
              <w:rPr>
                <w:rFonts w:hint="eastAsia"/>
                <w:b/>
                <w:bCs/>
                <w:sz w:val="28"/>
                <w:szCs w:val="28"/>
                <w:lang w:val="en-US" w:eastAsia="zh-CN"/>
              </w:rPr>
              <w:t>1.2.2对高校教师的教学指导价值：提供多元化教学实施路径</w:t>
            </w:r>
          </w:p>
          <w:p w14:paraId="21122E0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教材为高校教师开展职业生涯规划和就业指导教学提供了“理论+工具+方法”的全方位支持，有效降低教学实施难度。</w:t>
            </w:r>
          </w:p>
          <w:p w14:paraId="1279ECA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教学内容层面：前沿的职业信息与政策解读，让教师无需额外大量搜集资料，即可向学生传递紧跟时代的职业知识，确保教学内容的时效性与准确性。</w:t>
            </w:r>
          </w:p>
          <w:p w14:paraId="B9B90AA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教学方法层面：实践案例、任务导入、项目实训等模块，为教师开展案例教学、任务驱动教学、项目化教学提供直接素材，助力教师打破“纯理论讲授”的单一模式；同时，多种职业测评工具的引入，为教师实施个性化教学创造条件，帮助教师精准把握学生性格特点与职业倾向，实现“因材施教”。</w:t>
            </w:r>
          </w:p>
          <w:p w14:paraId="B6FB1DD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教学目标层面：对前瞻性职业发展趋势的关注，引导教师将教学重心从“应对当下就业”转向“兼顾长远发展”，在教会学生求职技巧的同时，注重培养其前瞻性思维，帮助教师更高效地达成“短期就业指导+长期职业规划”的双重教学目标。</w:t>
            </w:r>
          </w:p>
          <w:p w14:paraId="80A352C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b/>
                <w:bCs/>
                <w:sz w:val="28"/>
                <w:szCs w:val="28"/>
                <w:lang w:val="en-US" w:eastAsia="zh-CN"/>
              </w:rPr>
            </w:pPr>
            <w:r>
              <w:rPr>
                <w:rFonts w:hint="eastAsia"/>
                <w:b/>
                <w:bCs/>
                <w:sz w:val="28"/>
                <w:szCs w:val="28"/>
                <w:lang w:val="en-US" w:eastAsia="zh-CN"/>
              </w:rPr>
              <w:t>1.2.3对学生的教学指导价值：赋能个性化职业成长与竞争力提升</w:t>
            </w:r>
          </w:p>
          <w:p w14:paraId="5AD3981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教材以学生为核心，从认知、能力、发展三个维度为学生提供针对性指导，切实解决学生职业发展中的实际需求。</w:t>
            </w:r>
          </w:p>
          <w:p w14:paraId="42B5A3F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职业认知层面：通过解读新兴行业、职业及就业政策，帮助学生拓宽职业认知视野，清晰把握职业发展的时代脉搏，缓解“不知行业趋势、不懂职业方向”的迷茫。</w:t>
            </w:r>
          </w:p>
          <w:p w14:paraId="BD15B1D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实践能力层面：借助教材中的实践案例、项目实训模块，学生可将理论知识转化为实际操作，在模拟场景中练习求职技巧、生涯规划方法，有效提升简历撰写、面试应对等核心就业技能，弥补民办院校学生“实践经验不足”的短板。</w:t>
            </w:r>
          </w:p>
          <w:p w14:paraId="5F35EC1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lang w:val="en-US" w:eastAsia="zh-CN"/>
              </w:rPr>
            </w:pPr>
            <w:r>
              <w:rPr>
                <w:rFonts w:hint="eastAsia"/>
                <w:sz w:val="28"/>
                <w:szCs w:val="28"/>
                <w:lang w:val="en-US" w:eastAsia="zh-CN"/>
              </w:rPr>
              <w:t>长远发展层面：教材对前瞻性职业趋势的关注，引导学生思考未来职业形态与行业变革，帮助学生树立终身学习理念，培养适应未来变化的能力与前瞻性思维，不仅能助力学生应对当下就业挑战，更能为其长远职业发展筑牢基础，提升长期职业竞争力。</w:t>
            </w:r>
          </w:p>
          <w:p w14:paraId="24C834B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b/>
                <w:bCs/>
                <w:sz w:val="28"/>
                <w:szCs w:val="28"/>
                <w:lang w:val="en-US" w:eastAsia="zh-CN"/>
              </w:rPr>
            </w:pPr>
            <w:r>
              <w:rPr>
                <w:rFonts w:hint="eastAsia"/>
                <w:b/>
                <w:bCs/>
                <w:sz w:val="28"/>
                <w:szCs w:val="28"/>
                <w:lang w:val="en-US" w:eastAsia="zh-CN"/>
              </w:rPr>
              <w:t>1.3修订情况</w:t>
            </w:r>
          </w:p>
          <w:p w14:paraId="5C48EA0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sz w:val="28"/>
                <w:szCs w:val="28"/>
              </w:rPr>
            </w:pPr>
            <w:r>
              <w:rPr>
                <w:rFonts w:hint="eastAsia"/>
                <w:b w:val="0"/>
                <w:bCs w:val="0"/>
                <w:sz w:val="28"/>
                <w:szCs w:val="28"/>
                <w:lang w:val="en-US" w:eastAsia="zh-CN"/>
              </w:rPr>
              <w:t>本教材历经两年修订完成，期间经历校级就业指导教材编委会成立，编委们从课程大纲修订、教材大纲制订、理论知识整合、学生案例征集、实践活动选取、文字打磨等等，最终于2025年8月第1版正式出版发行。学校将每学期组织就业指导教材编委会进行审议，涉及课程内容模块修订、优秀学生案例更新和实践活动调整等等，确保教材不断升级优化。</w:t>
            </w:r>
          </w:p>
          <w:p w14:paraId="62DF6E90">
            <w:pPr>
              <w:keepNext w:val="0"/>
              <w:keepLines w:val="0"/>
              <w:pageBreakBefore w:val="0"/>
              <w:widowControl w:val="0"/>
              <w:suppressLineNumbers w:val="0"/>
              <w:suppressAutoHyphens/>
              <w:kinsoku/>
              <w:wordWrap/>
              <w:overflowPunct/>
              <w:topLinePunct w:val="0"/>
              <w:autoSpaceDE/>
              <w:autoSpaceDN/>
              <w:bidi w:val="0"/>
              <w:adjustRightInd w:val="0"/>
              <w:snapToGrid w:val="0"/>
              <w:spacing w:before="157" w:beforeLines="50" w:beforeAutospacing="0" w:after="157" w:afterLines="50" w:afterAutospacing="0" w:line="460" w:lineRule="exact"/>
              <w:ind w:left="0" w:righ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编写理念</w:t>
            </w:r>
          </w:p>
          <w:p w14:paraId="42F668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本教材坚持以立德树人为根本任务，以就业导向为基本遵循，以产教融合为实践路径，全面贯彻“三全育人”教育理念。具体体现在：</w:t>
            </w:r>
          </w:p>
          <w:p w14:paraId="31436204">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2.1 立德树人</w:t>
            </w:r>
            <w:r>
              <w:rPr>
                <w:rFonts w:hint="eastAsia" w:ascii="仿宋" w:hAnsi="仿宋" w:eastAsia="仿宋" w:cs="仿宋"/>
                <w:sz w:val="28"/>
                <w:szCs w:val="28"/>
                <w:lang w:val="en-US" w:eastAsia="zh-CN"/>
              </w:rPr>
              <w:t xml:space="preserve"> </w:t>
            </w:r>
          </w:p>
          <w:p w14:paraId="0947E9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整体章节编写以“立德树人”为宗旨，贯彻“就业育人”理念，聚焦学生求职择业实际问题，系统讲解自我认知、探索、兴趣培养等核心内容，借助理论与实践结合、方法与案例融合的手段，引导学生在知行合一中树立正确择业观、就业观，助力学生以新择业观念开启就业新征程，掌握择业技巧，提升就业竞争力，成长为高素质应用型人才，实现高质量充分就业。在“三全育人”方面，每一章通过“课程思政目标”“课程思政元素”“课程思政路径”，从教学目标、内容到实施途径，全过程、全方位引导学生树立正确职业观、价值观，强化社会责任感与使命感，让思政教育贯穿学生学习始终。</w:t>
            </w:r>
          </w:p>
          <w:p w14:paraId="27D95B0A">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2.2 就业导向 </w:t>
            </w:r>
          </w:p>
          <w:p w14:paraId="10607FAC">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教材编写紧跟国家就业政策，围绕新时代大学生“高质量就业”目标，以提升学生就业能力为核心，依托保定理工学院丰富实际案例，以“如何做”为指引，注重理论与实践结合，强化职业技能训练，运用小资料嵌入、重点内容微课讲解等形式，系统阐述职业生涯规划和就业指导内容。在“三全育人”落实上，从学院到教师，全员参与到教材内容的打造与教学中，学院整合资源提供案例等支持，教师在教学各环节，将育人理念融入对学生就业能力的培养，全方位助力学生成长，实现全员育人；同时，就业导向的教学贯穿学生大学学习全过程，持续为学生就业能力提升服务，体现全过程育人。</w:t>
            </w:r>
          </w:p>
          <w:p w14:paraId="494166B1">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2.3 产教融合</w:t>
            </w:r>
          </w:p>
          <w:p w14:paraId="02579E51">
            <w:pPr>
              <w:keepNext w:val="0"/>
              <w:keepLines w:val="0"/>
              <w:pageBreakBefore w:val="0"/>
              <w:widowControl w:val="0"/>
              <w:suppressLineNumbers w:val="0"/>
              <w:suppressAutoHyphens/>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val="0"/>
                <w:bCs w:val="0"/>
                <w:sz w:val="28"/>
                <w:szCs w:val="28"/>
                <w:lang w:val="en-US" w:eastAsia="zh-CN"/>
              </w:rPr>
              <w:t>教材特聘两位有多年企业经验的高层管理人员，将企业真实案例、实习实训资源和行业标准等纳入其中，推动教育链与产业链对接。教材不仅呈现企业实际案例，还深入分析案例背后的问题解决思路和方法。通过剖析这些真实案例，学生能了解企业实际运营中的挑战及应对策略，培养解决实际问题的能力。教材中融入的实习实训资源为学生提供实践操作机会，学生可依据教材指导将理论知识转化为实际技能。在“三全育人”方面，企业人员与校内教师协同，全员参与到对学生的培养中，从知识传授到实践指导，全方位助力学生；产教融合的内容和实践贯穿学生学习与职业发展相关过程，实现全过程育人，同时通过企业资源融入等，全方位拓展学生的学习与成长维度，体现全方位育人。</w:t>
            </w:r>
          </w:p>
          <w:p w14:paraId="2D5323F1">
            <w:pPr>
              <w:keepNext w:val="0"/>
              <w:keepLines w:val="0"/>
              <w:pageBreakBefore w:val="0"/>
              <w:widowControl w:val="0"/>
              <w:suppressLineNumbers w:val="0"/>
              <w:suppressAutoHyphens/>
              <w:kinsoku/>
              <w:wordWrap/>
              <w:overflowPunct/>
              <w:topLinePunct w:val="0"/>
              <w:autoSpaceDE/>
              <w:autoSpaceDN/>
              <w:bidi w:val="0"/>
              <w:adjustRightInd/>
              <w:snapToGrid/>
              <w:spacing w:before="157" w:beforeLines="50" w:beforeAutospacing="0" w:after="157" w:afterLines="50" w:afterAutospacing="0" w:line="460" w:lineRule="exact"/>
              <w:ind w:left="0" w:right="0" w:firstLine="643" w:firstLineChars="200"/>
              <w:textAlignment w:val="auto"/>
              <w:rPr>
                <w:rFonts w:hint="eastAsia"/>
                <w:b/>
                <w:bCs/>
                <w:color w:val="auto"/>
                <w:sz w:val="36"/>
                <w:szCs w:val="36"/>
              </w:rPr>
            </w:pP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内容设计</w:t>
            </w:r>
          </w:p>
          <w:p w14:paraId="6D8494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jc w:val="both"/>
              <w:textAlignment w:val="auto"/>
              <w:rPr>
                <w:rFonts w:hint="eastAsia"/>
                <w:color w:val="auto"/>
                <w:sz w:val="28"/>
                <w:szCs w:val="28"/>
                <w:lang w:eastAsia="zh-CN"/>
              </w:rPr>
            </w:pPr>
            <w:r>
              <w:rPr>
                <w:rFonts w:hint="eastAsia"/>
                <w:color w:val="auto"/>
                <w:sz w:val="28"/>
                <w:szCs w:val="28"/>
                <w:lang w:eastAsia="zh-CN"/>
              </w:rPr>
              <w:t>该教材以“任务驱动”为核心载体，通过八大项目、二十一项任务，将“思想性、学术性、时代性”三维核心内容深度融入“教学结构、专业需求、民办学情、教学资源”四重教学适配设计，构建“内容有高度、教学能落地、学生能受益”的闭环体系，助力民办院校学生实现从“校园”到“职场”的高效衔接。</w:t>
            </w:r>
          </w:p>
          <w:p w14:paraId="645270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jc w:val="both"/>
              <w:textAlignment w:val="auto"/>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3.1核心内容构建：三维度协同</w:t>
            </w:r>
            <w:r>
              <w:rPr>
                <w:rFonts w:hint="eastAsia" w:ascii="仿宋" w:hAnsi="仿宋" w:cs="仿宋"/>
                <w:b/>
                <w:bCs/>
                <w:color w:val="auto"/>
                <w:sz w:val="28"/>
                <w:szCs w:val="28"/>
                <w:lang w:val="en-US" w:eastAsia="zh-CN"/>
              </w:rPr>
              <w:t>赋能</w:t>
            </w:r>
          </w:p>
          <w:p w14:paraId="1C5160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jc w:val="both"/>
              <w:textAlignment w:val="auto"/>
              <w:rPr>
                <w:rFonts w:hint="eastAsia"/>
                <w:color w:val="auto"/>
                <w:sz w:val="28"/>
                <w:szCs w:val="28"/>
                <w:lang w:val="en-US" w:eastAsia="zh-CN"/>
              </w:rPr>
            </w:pPr>
            <w:r>
              <w:rPr>
                <w:rFonts w:hint="eastAsia"/>
                <w:color w:val="auto"/>
                <w:sz w:val="28"/>
                <w:szCs w:val="28"/>
                <w:lang w:val="en-US" w:eastAsia="zh-CN"/>
              </w:rPr>
              <w:t>教材以“价值引领、科学严谨、紧跟时代”为导向，从思想、学术、时代三个维度搭建相互支撑的内容框架，既确保内容深度，又适合民办院校学生认知与发展需求。</w:t>
            </w:r>
          </w:p>
          <w:p w14:paraId="752BDA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jc w:val="both"/>
              <w:textAlignment w:val="auto"/>
              <w:rPr>
                <w:rFonts w:hint="eastAsia" w:ascii="仿宋" w:hAnsi="仿宋" w:cs="仿宋"/>
                <w:b/>
                <w:bCs/>
                <w:color w:val="auto"/>
                <w:sz w:val="28"/>
                <w:szCs w:val="28"/>
                <w:lang w:val="en-US" w:eastAsia="zh-CN"/>
              </w:rPr>
            </w:pPr>
            <w:r>
              <w:rPr>
                <w:rFonts w:hint="eastAsia" w:ascii="仿宋" w:hAnsi="仿宋" w:cs="仿宋"/>
                <w:b/>
                <w:bCs/>
                <w:color w:val="auto"/>
                <w:sz w:val="28"/>
                <w:szCs w:val="28"/>
                <w:lang w:val="en-US" w:eastAsia="zh-CN"/>
              </w:rPr>
              <w:t>3.1.1 思想性维度</w:t>
            </w:r>
          </w:p>
          <w:p w14:paraId="670383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jc w:val="both"/>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一是精准锚定思政目标</w:t>
            </w:r>
            <w:r>
              <w:rPr>
                <w:rFonts w:hint="eastAsia" w:ascii="仿宋" w:hAnsi="仿宋" w:cs="仿宋"/>
                <w:b/>
                <w:bCs/>
                <w:color w:val="auto"/>
                <w:sz w:val="28"/>
                <w:szCs w:val="28"/>
                <w:lang w:eastAsia="zh-CN"/>
              </w:rPr>
              <w:t>，</w:t>
            </w:r>
            <w:r>
              <w:rPr>
                <w:rFonts w:hint="eastAsia" w:ascii="仿宋" w:hAnsi="仿宋" w:eastAsia="仿宋" w:cs="仿宋"/>
                <w:b/>
                <w:bCs/>
                <w:color w:val="auto"/>
                <w:sz w:val="28"/>
                <w:szCs w:val="28"/>
              </w:rPr>
              <w:t>案例载体具象化</w:t>
            </w:r>
            <w:r>
              <w:rPr>
                <w:rFonts w:hint="eastAsia" w:ascii="仿宋" w:hAnsi="仿宋" w:eastAsia="仿宋" w:cs="仿宋"/>
                <w:color w:val="auto"/>
                <w:sz w:val="28"/>
                <w:szCs w:val="28"/>
              </w:rPr>
              <w:t>。各项目均</w:t>
            </w:r>
            <w:r>
              <w:rPr>
                <w:rFonts w:hint="eastAsia" w:ascii="仿宋" w:hAnsi="仿宋" w:cs="仿宋"/>
                <w:color w:val="auto"/>
                <w:sz w:val="28"/>
                <w:szCs w:val="28"/>
                <w:lang w:val="en-US" w:eastAsia="zh-CN"/>
              </w:rPr>
              <w:t>明确</w:t>
            </w:r>
            <w:r>
              <w:rPr>
                <w:rFonts w:hint="eastAsia" w:ascii="仿宋" w:hAnsi="仿宋" w:eastAsia="仿宋" w:cs="仿宋"/>
                <w:color w:val="auto"/>
                <w:sz w:val="28"/>
                <w:szCs w:val="28"/>
              </w:rPr>
              <w:t>“课程思政目标”，以真实案例为载体，将抽象价值观转化为可感知的实践场景。</w:t>
            </w:r>
            <w:r>
              <w:rPr>
                <w:rFonts w:hint="eastAsia" w:ascii="仿宋" w:hAnsi="仿宋" w:eastAsia="仿宋" w:cs="仿宋"/>
                <w:color w:val="auto"/>
                <w:sz w:val="28"/>
                <w:szCs w:val="28"/>
                <w:lang w:val="en-US" w:eastAsia="zh-CN"/>
              </w:rPr>
              <w:t>如</w:t>
            </w:r>
            <w:r>
              <w:rPr>
                <w:rFonts w:hint="eastAsia" w:ascii="仿宋" w:hAnsi="仿宋" w:cs="仿宋"/>
                <w:color w:val="auto"/>
                <w:sz w:val="28"/>
                <w:szCs w:val="28"/>
                <w:lang w:val="en-US" w:eastAsia="zh-CN"/>
              </w:rPr>
              <w:t>项目一</w:t>
            </w:r>
            <w:r>
              <w:rPr>
                <w:rFonts w:hint="eastAsia" w:ascii="仿宋" w:hAnsi="仿宋" w:eastAsia="仿宋" w:cs="仿宋"/>
                <w:color w:val="auto"/>
                <w:sz w:val="28"/>
                <w:szCs w:val="28"/>
              </w:rPr>
              <w:t>通过“保定理工学院学生参军复学后深耕基层公安工作”案例，</w:t>
            </w:r>
            <w:r>
              <w:rPr>
                <w:rFonts w:hint="eastAsia" w:ascii="仿宋" w:hAnsi="仿宋" w:cs="仿宋"/>
                <w:color w:val="auto"/>
                <w:sz w:val="28"/>
                <w:szCs w:val="28"/>
                <w:lang w:val="en-US" w:eastAsia="zh-CN"/>
              </w:rPr>
              <w:t>具象化</w:t>
            </w:r>
            <w:r>
              <w:rPr>
                <w:rFonts w:hint="eastAsia" w:ascii="仿宋" w:hAnsi="仿宋" w:eastAsia="仿宋" w:cs="仿宋"/>
                <w:color w:val="auto"/>
                <w:sz w:val="28"/>
                <w:szCs w:val="28"/>
              </w:rPr>
              <w:t>培养学生家国情怀；项目七</w:t>
            </w:r>
            <w:r>
              <w:rPr>
                <w:rFonts w:hint="eastAsia" w:ascii="仿宋" w:hAnsi="仿宋" w:cs="仿宋"/>
                <w:color w:val="auto"/>
                <w:sz w:val="28"/>
                <w:szCs w:val="28"/>
                <w:lang w:val="en-US" w:eastAsia="zh-CN"/>
              </w:rPr>
              <w:t>以</w:t>
            </w:r>
            <w:r>
              <w:rPr>
                <w:rFonts w:hint="eastAsia" w:ascii="仿宋" w:hAnsi="仿宋" w:eastAsia="仿宋" w:cs="仿宋"/>
                <w:color w:val="auto"/>
                <w:sz w:val="28"/>
                <w:szCs w:val="28"/>
              </w:rPr>
              <w:t>“劳动者依法维权”案例，强化学生法治意识与契约精神，实现“思政+就业”的有机融合。</w:t>
            </w:r>
          </w:p>
          <w:p w14:paraId="00FFAD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二是批判错误价值观，正向引导具象化</w:t>
            </w:r>
            <w:r>
              <w:rPr>
                <w:rFonts w:hint="eastAsia" w:ascii="仿宋" w:hAnsi="仿宋" w:eastAsia="仿宋" w:cs="仿宋"/>
                <w:color w:val="auto"/>
                <w:sz w:val="28"/>
                <w:szCs w:val="28"/>
              </w:rPr>
              <w:t>。在“职业选择”模块中，批判“唯薪资论”“躺平思维”</w:t>
            </w:r>
            <w:r>
              <w:rPr>
                <w:rFonts w:hint="eastAsia" w:ascii="仿宋" w:hAnsi="仿宋" w:cs="仿宋"/>
                <w:color w:val="auto"/>
                <w:sz w:val="28"/>
                <w:szCs w:val="28"/>
                <w:lang w:val="en-US" w:eastAsia="zh-CN"/>
              </w:rPr>
              <w:t>等错误认知倾向</w:t>
            </w:r>
            <w:r>
              <w:rPr>
                <w:rFonts w:hint="eastAsia" w:ascii="仿宋" w:hAnsi="仿宋" w:eastAsia="仿宋" w:cs="仿宋"/>
                <w:color w:val="auto"/>
                <w:sz w:val="28"/>
                <w:szCs w:val="28"/>
              </w:rPr>
              <w:t>，倡导“职业无高低贵贱”“奋斗实现</w:t>
            </w:r>
            <w:r>
              <w:rPr>
                <w:rFonts w:hint="eastAsia" w:ascii="仿宋" w:hAnsi="仿宋" w:cs="仿宋"/>
                <w:color w:val="auto"/>
                <w:sz w:val="28"/>
                <w:szCs w:val="28"/>
                <w:lang w:val="en-US" w:eastAsia="zh-CN"/>
              </w:rPr>
              <w:t>人生</w:t>
            </w:r>
            <w:r>
              <w:rPr>
                <w:rFonts w:hint="eastAsia" w:ascii="仿宋" w:hAnsi="仿宋" w:eastAsia="仿宋" w:cs="仿宋"/>
                <w:color w:val="auto"/>
                <w:sz w:val="28"/>
                <w:szCs w:val="28"/>
              </w:rPr>
              <w:t>价值”的理念，结合“西部计划志愿者</w:t>
            </w:r>
            <w:r>
              <w:rPr>
                <w:rFonts w:hint="eastAsia" w:ascii="仿宋" w:hAnsi="仿宋" w:cs="仿宋"/>
                <w:color w:val="auto"/>
                <w:sz w:val="28"/>
                <w:szCs w:val="28"/>
                <w:lang w:val="en-US" w:eastAsia="zh-CN"/>
              </w:rPr>
              <w:t>扎根基层</w:t>
            </w:r>
            <w:r>
              <w:rPr>
                <w:rFonts w:hint="eastAsia" w:ascii="仿宋" w:hAnsi="仿宋" w:eastAsia="仿宋" w:cs="仿宋"/>
                <w:color w:val="auto"/>
                <w:sz w:val="28"/>
                <w:szCs w:val="28"/>
              </w:rPr>
              <w:t>”“乡村振兴基层工作者</w:t>
            </w:r>
            <w:r>
              <w:rPr>
                <w:rFonts w:hint="eastAsia" w:ascii="仿宋" w:hAnsi="仿宋" w:cs="仿宋"/>
                <w:color w:val="auto"/>
                <w:sz w:val="28"/>
                <w:szCs w:val="28"/>
                <w:lang w:val="en-US" w:eastAsia="zh-CN"/>
              </w:rPr>
              <w:t>助力县域发展</w:t>
            </w:r>
            <w:r>
              <w:rPr>
                <w:rFonts w:hint="eastAsia" w:ascii="仿宋" w:hAnsi="仿宋" w:eastAsia="仿宋" w:cs="仿宋"/>
                <w:color w:val="auto"/>
                <w:sz w:val="28"/>
                <w:szCs w:val="28"/>
              </w:rPr>
              <w:t>”等案例，引导学生将个人理想与国家战略</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社会需求结合</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树立正确就业观。</w:t>
            </w:r>
          </w:p>
          <w:p w14:paraId="440EE3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cs="仿宋"/>
                <w:b/>
                <w:bCs/>
                <w:color w:val="auto"/>
                <w:sz w:val="28"/>
                <w:szCs w:val="28"/>
                <w:lang w:val="en-US" w:eastAsia="zh-CN"/>
              </w:rPr>
              <w:t>3.1.2</w:t>
            </w:r>
            <w:r>
              <w:rPr>
                <w:rFonts w:hint="eastAsia" w:ascii="仿宋" w:hAnsi="仿宋" w:eastAsia="仿宋" w:cs="仿宋"/>
                <w:b/>
                <w:bCs/>
                <w:color w:val="auto"/>
                <w:sz w:val="28"/>
                <w:szCs w:val="28"/>
              </w:rPr>
              <w:t>学术性</w:t>
            </w:r>
            <w:r>
              <w:rPr>
                <w:rFonts w:hint="eastAsia" w:ascii="仿宋" w:hAnsi="仿宋" w:cs="仿宋"/>
                <w:b/>
                <w:bCs/>
                <w:color w:val="auto"/>
                <w:sz w:val="28"/>
                <w:szCs w:val="28"/>
                <w:lang w:val="en-US" w:eastAsia="zh-CN"/>
              </w:rPr>
              <w:t>维度</w:t>
            </w:r>
          </w:p>
          <w:p w14:paraId="64BAEE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一是理论与政策双维支撑，构建科学决策框架</w:t>
            </w:r>
            <w:r>
              <w:rPr>
                <w:rFonts w:hint="eastAsia" w:ascii="仿宋" w:hAnsi="仿宋" w:eastAsia="仿宋" w:cs="仿宋"/>
                <w:color w:val="auto"/>
                <w:sz w:val="28"/>
                <w:szCs w:val="28"/>
              </w:rPr>
              <w:t>。融合认知信息加工理论等前沿成果，同时深度衔接国家就业方针政策，形成“理论解析—政策指引—实践应用”的学术闭环。如在“职业决策”模块中，既详细解析SWOT分析法、</w:t>
            </w:r>
            <w:r>
              <w:rPr>
                <w:rFonts w:hint="eastAsia" w:ascii="仿宋" w:hAnsi="仿宋" w:cs="仿宋"/>
                <w:color w:val="auto"/>
                <w:sz w:val="28"/>
                <w:szCs w:val="28"/>
                <w:lang w:val="en-US" w:eastAsia="zh-CN"/>
              </w:rPr>
              <w:t>生涯决策</w:t>
            </w:r>
            <w:r>
              <w:rPr>
                <w:rFonts w:hint="eastAsia" w:ascii="仿宋" w:hAnsi="仿宋" w:eastAsia="仿宋" w:cs="仿宋"/>
                <w:color w:val="auto"/>
                <w:sz w:val="28"/>
                <w:szCs w:val="28"/>
              </w:rPr>
              <w:t>平衡单法的原理与应用步骤，配备“研究生/公务员/企业就业”的权重赋值推导过程与案例验证；又以国家政策为导向优化决策逻辑，结合《中共中央办公厅国务院办公厅关于加快构建普通高等学校毕业生高质量就业服务体系的意见》中“人岗相适、用人所长、人尽其才”的核心要求，在平衡单</w:t>
            </w:r>
            <w:r>
              <w:rPr>
                <w:rFonts w:hint="eastAsia" w:ascii="仿宋" w:hAnsi="仿宋" w:cs="仿宋"/>
                <w:color w:val="auto"/>
                <w:sz w:val="28"/>
                <w:szCs w:val="28"/>
                <w:lang w:val="en-US" w:eastAsia="zh-CN"/>
              </w:rPr>
              <w:t>分析</w:t>
            </w:r>
            <w:r>
              <w:rPr>
                <w:rFonts w:hint="eastAsia" w:ascii="仿宋" w:hAnsi="仿宋" w:eastAsia="仿宋" w:cs="仿宋"/>
                <w:color w:val="auto"/>
                <w:sz w:val="28"/>
                <w:szCs w:val="28"/>
              </w:rPr>
              <w:t>法中增设“政策适配性”维度，纳入基层服务项目扶持政策、新兴产业就业补贴等考量因素。</w:t>
            </w:r>
          </w:p>
          <w:p w14:paraId="1E93A2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二是内容适配民办院校学情</w:t>
            </w:r>
            <w:r>
              <w:rPr>
                <w:rFonts w:hint="eastAsia" w:ascii="仿宋" w:hAnsi="仿宋" w:cs="仿宋"/>
                <w:b/>
                <w:bCs/>
                <w:color w:val="auto"/>
                <w:sz w:val="28"/>
                <w:szCs w:val="28"/>
                <w:lang w:eastAsia="zh-CN"/>
              </w:rPr>
              <w:t>，</w:t>
            </w:r>
            <w:r>
              <w:rPr>
                <w:rFonts w:hint="eastAsia" w:ascii="仿宋" w:hAnsi="仿宋" w:cs="仿宋"/>
                <w:b/>
                <w:bCs/>
                <w:color w:val="auto"/>
                <w:sz w:val="28"/>
                <w:szCs w:val="28"/>
                <w:lang w:val="en-US" w:eastAsia="zh-CN"/>
              </w:rPr>
              <w:t>优化内容设计</w:t>
            </w:r>
            <w:r>
              <w:rPr>
                <w:rFonts w:hint="eastAsia" w:ascii="仿宋" w:hAnsi="仿宋" w:cs="仿宋"/>
                <w:b/>
                <w:bCs/>
                <w:color w:val="auto"/>
                <w:sz w:val="28"/>
                <w:szCs w:val="28"/>
                <w:lang w:eastAsia="zh-CN"/>
              </w:rPr>
              <w:t>。</w:t>
            </w:r>
            <w:r>
              <w:rPr>
                <w:rFonts w:hint="eastAsia" w:ascii="仿宋" w:hAnsi="仿宋" w:eastAsia="仿宋" w:cs="仿宋"/>
                <w:color w:val="auto"/>
                <w:sz w:val="28"/>
                <w:szCs w:val="28"/>
              </w:rPr>
              <w:t>一方面严格遵循教材编写规范，参考《职业院校教材管理办法》《普通高等学校教材管理办法》等文件，术语（如“职业锚”“可迁移技能”）均采用《中华人民共和国职业分类大典（2022 版）》《国家职业技能标准》中的国家标准定义；数据引用标注权威来源，如毕业生就业数据来自本校《2024年就业质量报告》，行业趋势数据来自《中国就业市场景气报告》，政策条款明确标注法规名称及具体条款；案例分析统一采用“案例呈现—理论剖析—实践启示”三段式结构。</w:t>
            </w:r>
          </w:p>
          <w:p w14:paraId="0A2139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同时，围绕学生特点优化内容：其一，术语解读适配基础认知：针对部分学生理论基础较薄弱的特点，对“职业锚”“可迁移技能”等专业术语，在国家标准定义后补充“通俗解读+民办院校学生案例”</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帮助学生快速理解术语内涵；其二，数据呈现突出民办特色，单独增设“民办院校就业数据专栏”，重点展示本校“中小企业就业率”“技能岗位占比”“创业孵化成功率”，并对比公办院校数据，结合理论分析民办学生灵活就业优势；其三，案例选取聚焦学生真实成长路径，如“计算机专业学生通过校企实训入职本地IT企业”“财务管理专业学生依托创业孵化基地创办工作室”等案例，增强内容的</w:t>
            </w:r>
            <w:r>
              <w:rPr>
                <w:rFonts w:hint="default" w:ascii="仿宋" w:hAnsi="仿宋" w:eastAsia="仿宋" w:cs="仿宋"/>
                <w:color w:val="auto"/>
                <w:sz w:val="28"/>
                <w:szCs w:val="28"/>
              </w:rPr>
              <w:t>贴近性与参考价值</w:t>
            </w:r>
            <w:r>
              <w:rPr>
                <w:rFonts w:hint="eastAsia" w:ascii="仿宋" w:hAnsi="仿宋" w:eastAsia="仿宋" w:cs="仿宋"/>
                <w:color w:val="auto"/>
                <w:sz w:val="28"/>
                <w:szCs w:val="28"/>
              </w:rPr>
              <w:t>；其四，补充民办专属政策，解读《关于促进新时代民办教育健康发展的若干意见》中校企合作条款，说明“企业新型学徒制补贴”“创业专项贷款”等民办学生可享政策，助力学生用好资源。</w:t>
            </w:r>
          </w:p>
          <w:p w14:paraId="7C0BE7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cs="仿宋"/>
                <w:b/>
                <w:bCs/>
                <w:color w:val="auto"/>
                <w:sz w:val="28"/>
                <w:szCs w:val="28"/>
                <w:lang w:val="en-US" w:eastAsia="zh-CN"/>
              </w:rPr>
              <w:t>3.1.3</w:t>
            </w:r>
            <w:r>
              <w:rPr>
                <w:rFonts w:hint="eastAsia" w:ascii="仿宋" w:hAnsi="仿宋" w:eastAsia="仿宋" w:cs="仿宋"/>
                <w:b/>
                <w:bCs/>
                <w:color w:val="auto"/>
                <w:sz w:val="28"/>
                <w:szCs w:val="28"/>
              </w:rPr>
              <w:t>时代性</w:t>
            </w:r>
            <w:r>
              <w:rPr>
                <w:rFonts w:hint="eastAsia" w:ascii="仿宋" w:hAnsi="仿宋" w:cs="仿宋"/>
                <w:b/>
                <w:bCs/>
                <w:color w:val="auto"/>
                <w:sz w:val="28"/>
                <w:szCs w:val="28"/>
                <w:lang w:val="en-US" w:eastAsia="zh-CN"/>
              </w:rPr>
              <w:t>维度</w:t>
            </w:r>
          </w:p>
          <w:p w14:paraId="3642FC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一是对接新职业与新趋势</w:t>
            </w:r>
            <w:r>
              <w:rPr>
                <w:rFonts w:hint="eastAsia" w:ascii="仿宋" w:hAnsi="仿宋" w:eastAsia="仿宋" w:cs="仿宋"/>
                <w:color w:val="auto"/>
                <w:sz w:val="28"/>
                <w:szCs w:val="28"/>
              </w:rPr>
              <w:t>，新增“数字经济领域职业探索”（如人工智能训练师、工业互联网项目管理师）、“绿色职业发展”（如碳金融产品经理、新能源汽车运维师）等模块，结合2022版《职业分类大典》新增158个职业内容，补充相关职业的工作任务、技能要求与发展路径</w:t>
            </w:r>
            <w:r>
              <w:rPr>
                <w:rFonts w:hint="eastAsia" w:ascii="仿宋" w:hAnsi="仿宋" w:cs="仿宋"/>
                <w:color w:val="auto"/>
                <w:sz w:val="28"/>
                <w:szCs w:val="28"/>
                <w:lang w:eastAsia="zh-CN"/>
              </w:rPr>
              <w:t>，</w:t>
            </w:r>
            <w:r>
              <w:rPr>
                <w:rFonts w:hint="eastAsia" w:ascii="仿宋" w:hAnsi="仿宋" w:eastAsia="仿宋" w:cs="仿宋"/>
                <w:color w:val="auto"/>
                <w:sz w:val="28"/>
                <w:szCs w:val="28"/>
              </w:rPr>
              <w:t>帮助学生把握就业新机遇。</w:t>
            </w:r>
          </w:p>
          <w:p w14:paraId="5661A7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二是融入新技术应用</w:t>
            </w:r>
            <w:r>
              <w:rPr>
                <w:rFonts w:hint="eastAsia" w:ascii="仿宋" w:hAnsi="仿宋" w:eastAsia="仿宋" w:cs="仿宋"/>
                <w:color w:val="auto"/>
                <w:sz w:val="28"/>
                <w:szCs w:val="28"/>
              </w:rPr>
              <w:t>，在“求职材料制作”模块中，介绍AI优化简历（如借助Kimi、文心一言等工具提取岗位关键词）、数字化面试（视频面试设备调试、虚拟背景设置）等内容；在“职业测评”模块中，引入MBTI在线测评、职业锚测试等数字化工具，适配当代学生信息获取习惯</w:t>
            </w:r>
            <w:r>
              <w:rPr>
                <w:rFonts w:hint="eastAsia" w:ascii="仿宋" w:hAnsi="仿宋" w:cs="仿宋"/>
                <w:color w:val="auto"/>
                <w:sz w:val="28"/>
                <w:szCs w:val="28"/>
                <w:lang w:eastAsia="zh-CN"/>
              </w:rPr>
              <w:t>，</w:t>
            </w:r>
            <w:r>
              <w:rPr>
                <w:rFonts w:hint="eastAsia" w:ascii="仿宋" w:hAnsi="仿宋" w:eastAsia="仿宋" w:cs="仿宋"/>
                <w:color w:val="auto"/>
                <w:sz w:val="28"/>
                <w:szCs w:val="28"/>
              </w:rPr>
              <w:t>提升求职与自我认知效率。</w:t>
            </w:r>
          </w:p>
          <w:p w14:paraId="4D6702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jc w:val="both"/>
              <w:textAlignment w:val="auto"/>
              <w:rPr>
                <w:rFonts w:hint="eastAsia" w:ascii="仿宋" w:hAnsi="仿宋" w:eastAsia="仿宋" w:cs="仿宋"/>
                <w:b/>
                <w:bCs/>
                <w:color w:val="auto"/>
                <w:sz w:val="28"/>
                <w:szCs w:val="28"/>
              </w:rPr>
            </w:pPr>
            <w:r>
              <w:rPr>
                <w:rFonts w:hint="eastAsia" w:ascii="仿宋" w:hAnsi="仿宋" w:cs="仿宋"/>
                <w:b/>
                <w:bCs/>
                <w:color w:val="auto"/>
                <w:sz w:val="28"/>
                <w:szCs w:val="28"/>
                <w:lang w:val="en-US" w:eastAsia="zh-CN"/>
              </w:rPr>
              <w:t>3.2教学落地保障：四重适配设计</w:t>
            </w:r>
          </w:p>
          <w:p w14:paraId="0FFB70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教材紧密围绕当代大学生“自我认知→职业探索→求职实践→职业适应”的就业成长规律，尤其针对民办院校就业课程“侧重实践技能、贴合区域产业、服务学生差异化发展”的教学特点，将课程目标与民办院校学生“技能提升快、就业方向灵活、依赖校企资源”的学情深度绑定，确保教材内容既符合高校就业指导课程的通用教学逻辑，又能精准解决民办院校就业教学中“理论与区域产业脱节、实训与岗位需求不符”的核心问题，为后续教学环节设计奠定适配基础。</w:t>
            </w:r>
          </w:p>
          <w:p w14:paraId="63E99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一是结构适配教学规律，采用“项目—任务—活动”三层架构，每个项目包含“学习目标—案例故事—知识讲解—任务练习—项目实训”环节，如项目六“促进就业——掌握求职方法”，先通过“学生简历优化案例”引入，再讲解简历制作原则与技巧，随后安排“AI优化简历”“模拟面试”等实操任务，符合“理论—案例—实践”的教学逻辑。</w:t>
            </w:r>
          </w:p>
          <w:p w14:paraId="3FAAAD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二是适配不同专业需求，设置“专业特色模块”，如针对工科专业，补充“技术岗位笔试题库（含编程、机械设计等）”“工程师职业发展路径图”；针对文科专业，补充“文案类岗位求职材料范例”“行政办公技能实操指南”；针对艺术类专业，补充“作品集制作规范”“设计类岗位面试流程”，满足本校多学科教学需求。</w:t>
            </w:r>
          </w:p>
          <w:p w14:paraId="611EB6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三是</w:t>
            </w:r>
            <w:r>
              <w:rPr>
                <w:rFonts w:hint="eastAsia" w:ascii="仿宋" w:hAnsi="仿宋" w:eastAsia="仿宋" w:cs="仿宋"/>
                <w:color w:val="auto"/>
                <w:sz w:val="28"/>
                <w:szCs w:val="28"/>
              </w:rPr>
              <w:t>深度绑定民办院校学生学情，通过优化术语解读、突出民办数据、选取民办案例、补充专属政策，解决其学习痛点。</w:t>
            </w:r>
          </w:p>
          <w:p w14:paraId="1B1AD2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color w:val="auto"/>
                <w:sz w:val="24"/>
                <w:szCs w:val="32"/>
              </w:rPr>
            </w:pPr>
            <w:r>
              <w:rPr>
                <w:rFonts w:hint="eastAsia" w:ascii="仿宋" w:hAnsi="仿宋" w:eastAsia="仿宋" w:cs="仿宋"/>
                <w:color w:val="auto"/>
                <w:sz w:val="28"/>
                <w:szCs w:val="28"/>
                <w:lang w:val="en-US" w:eastAsia="zh-CN"/>
              </w:rPr>
              <w:t>四是</w:t>
            </w:r>
            <w:r>
              <w:rPr>
                <w:rFonts w:hint="eastAsia" w:ascii="仿宋" w:hAnsi="仿宋" w:eastAsia="仿宋" w:cs="仿宋"/>
                <w:color w:val="auto"/>
                <w:sz w:val="28"/>
                <w:szCs w:val="28"/>
              </w:rPr>
              <w:t>配套教学资源，提供教学大纲、PPT课件</w:t>
            </w:r>
            <w:r>
              <w:rPr>
                <w:rFonts w:hint="eastAsia" w:ascii="仿宋" w:hAnsi="仿宋" w:eastAsia="仿宋" w:cs="仿宋"/>
                <w:color w:val="auto"/>
                <w:sz w:val="28"/>
                <w:szCs w:val="28"/>
                <w:lang w:eastAsia="zh-CN"/>
              </w:rPr>
              <w:t>、教案</w:t>
            </w:r>
            <w:r>
              <w:rPr>
                <w:rFonts w:hint="eastAsia" w:ascii="仿宋" w:hAnsi="仿宋" w:eastAsia="仿宋" w:cs="仿宋"/>
                <w:color w:val="auto"/>
                <w:sz w:val="28"/>
                <w:szCs w:val="28"/>
              </w:rPr>
              <w:t>、</w:t>
            </w:r>
            <w:r>
              <w:rPr>
                <w:rFonts w:hint="eastAsia" w:ascii="仿宋" w:hAnsi="仿宋" w:cs="仿宋"/>
                <w:color w:val="auto"/>
                <w:sz w:val="28"/>
                <w:szCs w:val="28"/>
                <w:lang w:eastAsia="zh-CN"/>
              </w:rPr>
              <w:t>微视频、</w:t>
            </w:r>
            <w:r>
              <w:rPr>
                <w:rFonts w:hint="eastAsia" w:ascii="仿宋" w:hAnsi="仿宋" w:eastAsia="仿宋" w:cs="仿宋"/>
                <w:color w:val="auto"/>
                <w:sz w:val="28"/>
                <w:szCs w:val="28"/>
                <w:lang w:eastAsia="zh-CN"/>
              </w:rPr>
              <w:t>学生案例库、</w:t>
            </w:r>
            <w:r>
              <w:rPr>
                <w:rFonts w:hint="eastAsia" w:ascii="仿宋" w:hAnsi="仿宋" w:eastAsia="仿宋" w:cs="仿宋"/>
                <w:color w:val="auto"/>
                <w:sz w:val="28"/>
                <w:szCs w:val="28"/>
              </w:rPr>
              <w:t>实训指导手册，同时搭建“教材配套在线平台”，上传行业专家讲座视频、校友求职经验分享、企业招聘宣讲会回放等资源，支持混合式教学，适配线下课堂与线上自主学习场景。</w:t>
            </w:r>
          </w:p>
          <w:p w14:paraId="58FA1D71">
            <w:pPr>
              <w:keepNext w:val="0"/>
              <w:keepLines w:val="0"/>
              <w:pageBreakBefore w:val="0"/>
              <w:widowControl w:val="0"/>
              <w:suppressLineNumbers w:val="0"/>
              <w:suppressAutoHyphens/>
              <w:kinsoku/>
              <w:wordWrap/>
              <w:overflowPunct/>
              <w:topLinePunct w:val="0"/>
              <w:autoSpaceDE/>
              <w:autoSpaceDN/>
              <w:bidi w:val="0"/>
              <w:adjustRightInd/>
              <w:snapToGrid/>
              <w:spacing w:before="157" w:beforeLines="50" w:beforeAutospacing="0" w:after="157" w:afterLines="50" w:afterAutospacing="0" w:line="460" w:lineRule="exact"/>
              <w:ind w:left="0" w:right="0" w:firstLine="643" w:firstLineChars="200"/>
              <w:textAlignment w:val="auto"/>
              <w:rPr>
                <w:rFonts w:hint="eastAsia"/>
                <w:b/>
                <w:bCs/>
                <w:sz w:val="32"/>
                <w:szCs w:val="32"/>
                <w:highlight w:val="none"/>
                <w:lang w:val="en-US" w:eastAsia="zh-CN"/>
              </w:rPr>
            </w:pPr>
            <w:r>
              <w:rPr>
                <w:rFonts w:hint="eastAsia"/>
                <w:b/>
                <w:bCs/>
                <w:sz w:val="32"/>
                <w:szCs w:val="32"/>
                <w:highlight w:val="none"/>
                <w:lang w:val="en-US" w:eastAsia="zh-CN"/>
              </w:rPr>
              <w:t>4.特色创新</w:t>
            </w:r>
          </w:p>
          <w:p w14:paraId="69305C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教材践行“以学生为中心”原则，采用“案例导入—任务练习—微课辅助—实践体验—贴士指引—项目实训”的体例结构组织编写，呈现形式新颖别致，</w:t>
            </w:r>
            <w:r>
              <w:rPr>
                <w:rFonts w:hint="eastAsia" w:ascii="仿宋" w:hAnsi="仿宋" w:cs="仿宋"/>
                <w:sz w:val="28"/>
                <w:szCs w:val="28"/>
                <w:lang w:val="en-US" w:eastAsia="zh-CN"/>
              </w:rPr>
              <w:t>其特色创新主要体现在以下方面</w:t>
            </w:r>
            <w:r>
              <w:rPr>
                <w:rFonts w:hint="eastAsia" w:ascii="仿宋" w:hAnsi="仿宋" w:eastAsia="仿宋" w:cs="仿宋"/>
                <w:sz w:val="28"/>
                <w:szCs w:val="28"/>
                <w:lang w:val="en-US" w:eastAsia="zh-CN"/>
              </w:rPr>
              <w:t>。</w:t>
            </w:r>
          </w:p>
          <w:p w14:paraId="26CB4D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b/>
                <w:bCs/>
                <w:sz w:val="28"/>
                <w:szCs w:val="28"/>
                <w:lang w:val="en-US" w:eastAsia="zh-CN"/>
              </w:rPr>
            </w:pPr>
            <w:r>
              <w:rPr>
                <w:rFonts w:hint="eastAsia" w:ascii="仿宋" w:hAnsi="仿宋" w:cs="仿宋"/>
                <w:b/>
                <w:bCs/>
                <w:sz w:val="28"/>
                <w:szCs w:val="28"/>
                <w:lang w:val="en-US" w:eastAsia="zh-CN"/>
              </w:rPr>
              <w:t>4.1</w:t>
            </w:r>
            <w:r>
              <w:rPr>
                <w:rFonts w:hint="eastAsia" w:ascii="仿宋" w:hAnsi="仿宋" w:eastAsia="仿宋" w:cs="仿宋"/>
                <w:b/>
                <w:bCs/>
                <w:sz w:val="28"/>
                <w:szCs w:val="28"/>
                <w:lang w:val="en-US" w:eastAsia="zh-CN"/>
              </w:rPr>
              <w:t>凸显“课程思政”特色</w:t>
            </w:r>
          </w:p>
          <w:p w14:paraId="1C17E2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cs="仿宋"/>
                <w:b/>
                <w:bCs/>
                <w:sz w:val="28"/>
                <w:szCs w:val="28"/>
                <w:lang w:val="en-US" w:eastAsia="zh-CN"/>
              </w:rPr>
            </w:pPr>
            <w:r>
              <w:rPr>
                <w:rFonts w:hint="eastAsia" w:ascii="仿宋" w:hAnsi="仿宋" w:eastAsia="仿宋" w:cs="仿宋"/>
                <w:sz w:val="28"/>
                <w:szCs w:val="28"/>
                <w:lang w:val="en-US" w:eastAsia="zh-CN"/>
              </w:rPr>
              <w:t>教材每一单元的学习目标均深度契合课程思政要求，着力将立德树人的根本任务贯穿于知识研习、就业案例剖析、故事分享及拓展阅读的全过程。课程中系统融入国家与地方就业政策解读、职业道德素养培育以及职业理想的深化塑造等内容，实现思政教育与专业学习的有机融合。</w:t>
            </w:r>
          </w:p>
          <w:p w14:paraId="07A746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default" w:ascii="仿宋" w:hAnsi="仿宋" w:eastAsia="仿宋" w:cs="仿宋"/>
                <w:b/>
                <w:bCs/>
                <w:sz w:val="28"/>
                <w:szCs w:val="28"/>
                <w:lang w:val="en-US" w:eastAsia="zh-CN"/>
              </w:rPr>
            </w:pPr>
            <w:r>
              <w:rPr>
                <w:rFonts w:hint="eastAsia" w:ascii="仿宋" w:hAnsi="仿宋" w:cs="仿宋"/>
                <w:b/>
                <w:bCs/>
                <w:sz w:val="28"/>
                <w:szCs w:val="28"/>
                <w:lang w:val="en-US" w:eastAsia="zh-CN"/>
              </w:rPr>
              <w:t>4.2</w:t>
            </w:r>
            <w:r>
              <w:rPr>
                <w:rFonts w:hint="eastAsia" w:ascii="仿宋" w:hAnsi="仿宋" w:eastAsia="仿宋" w:cs="仿宋"/>
                <w:b/>
                <w:bCs/>
                <w:sz w:val="28"/>
                <w:szCs w:val="28"/>
                <w:lang w:val="en-US" w:eastAsia="zh-CN"/>
              </w:rPr>
              <w:t>引领“前沿职业趋势”方向</w:t>
            </w:r>
          </w:p>
          <w:p w14:paraId="1B2A2B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教材突破传统职业</w:t>
            </w:r>
            <w:r>
              <w:rPr>
                <w:rFonts w:hint="eastAsia" w:ascii="仿宋" w:hAnsi="仿宋" w:eastAsia="仿宋" w:cs="仿宋"/>
                <w:sz w:val="28"/>
                <w:szCs w:val="28"/>
                <w:lang w:val="en-US" w:eastAsia="zh-CN"/>
              </w:rPr>
              <w:t>教育</w:t>
            </w:r>
            <w:r>
              <w:rPr>
                <w:rFonts w:hint="default" w:ascii="仿宋" w:hAnsi="仿宋" w:eastAsia="仿宋" w:cs="仿宋"/>
                <w:sz w:val="28"/>
                <w:szCs w:val="28"/>
                <w:lang w:val="en-US" w:eastAsia="zh-CN"/>
              </w:rPr>
              <w:t>内容滞后的局限，以“前瞻性、实用性、赋能性”为核心，深度融合前沿职业发展趋势，系统阐述新兴职业生态与未来职业图景，助力学生提前构建对职业世界的立体认知</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为其学业规划与职业发展筑牢根基 。</w:t>
            </w:r>
          </w:p>
          <w:p w14:paraId="4F0AC3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b/>
                <w:bCs/>
                <w:sz w:val="28"/>
                <w:szCs w:val="28"/>
                <w:lang w:val="en-US" w:eastAsia="zh-CN"/>
              </w:rPr>
            </w:pPr>
            <w:r>
              <w:rPr>
                <w:rFonts w:hint="eastAsia" w:ascii="仿宋" w:hAnsi="仿宋" w:cs="仿宋"/>
                <w:b/>
                <w:bCs/>
                <w:sz w:val="28"/>
                <w:szCs w:val="28"/>
                <w:lang w:val="en-US" w:eastAsia="zh-CN"/>
              </w:rPr>
              <w:t>4.3</w:t>
            </w:r>
            <w:r>
              <w:rPr>
                <w:rFonts w:hint="eastAsia" w:ascii="仿宋" w:hAnsi="仿宋" w:eastAsia="仿宋" w:cs="仿宋"/>
                <w:b/>
                <w:bCs/>
                <w:sz w:val="28"/>
                <w:szCs w:val="28"/>
                <w:lang w:val="en-US" w:eastAsia="zh-CN"/>
              </w:rPr>
              <w:t>强化“案例与情景”融合</w:t>
            </w:r>
          </w:p>
          <w:p w14:paraId="3FC1E8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通过引入海量本校求职就业真实案例并开展深度案例分析，助力学生摆脱枯燥理论学习的桎梏，置身于鲜活的现实情景中，进而激发学习兴趣，让学生在沉浸式体验中掌握就业的实用技巧，同时收获实践乐趣。</w:t>
            </w:r>
          </w:p>
          <w:p w14:paraId="264B6B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eastAsia" w:ascii="仿宋" w:hAnsi="仿宋" w:eastAsia="仿宋" w:cs="仿宋"/>
                <w:b/>
                <w:bCs/>
                <w:sz w:val="28"/>
                <w:szCs w:val="28"/>
                <w:lang w:val="en-US" w:eastAsia="zh-CN"/>
              </w:rPr>
            </w:pPr>
            <w:r>
              <w:rPr>
                <w:rFonts w:hint="eastAsia" w:ascii="仿宋" w:hAnsi="仿宋" w:cs="仿宋"/>
                <w:b/>
                <w:bCs/>
                <w:sz w:val="28"/>
                <w:szCs w:val="28"/>
                <w:lang w:val="en-US" w:eastAsia="zh-CN"/>
              </w:rPr>
              <w:t>4.4</w:t>
            </w:r>
            <w:r>
              <w:rPr>
                <w:rFonts w:hint="eastAsia" w:ascii="仿宋" w:hAnsi="仿宋" w:eastAsia="仿宋" w:cs="仿宋"/>
                <w:b/>
                <w:bCs/>
                <w:sz w:val="28"/>
                <w:szCs w:val="28"/>
                <w:lang w:val="en-US" w:eastAsia="zh-CN"/>
              </w:rPr>
              <w:t>彰显“能力为本”理念</w:t>
            </w:r>
          </w:p>
          <w:p w14:paraId="3023B1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教材以任务驱动、项目载体为核心，通过课内外实训、多元测评及实践活动，系统提升学生硬技能与软素质的协同发展能力，聚焦培育职业生涯及就业所需的核心竞争力。</w:t>
            </w:r>
          </w:p>
          <w:p w14:paraId="4AFC8F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default" w:ascii="仿宋" w:hAnsi="仿宋" w:eastAsia="仿宋" w:cs="仿宋"/>
                <w:b/>
                <w:bCs/>
                <w:sz w:val="28"/>
                <w:szCs w:val="28"/>
                <w:lang w:val="en-US" w:eastAsia="zh-CN"/>
              </w:rPr>
            </w:pPr>
            <w:r>
              <w:rPr>
                <w:rFonts w:hint="eastAsia" w:ascii="仿宋" w:hAnsi="仿宋" w:cs="仿宋"/>
                <w:b/>
                <w:bCs/>
                <w:sz w:val="28"/>
                <w:szCs w:val="28"/>
                <w:lang w:val="en-US" w:eastAsia="zh-CN"/>
              </w:rPr>
              <w:t>4.5</w:t>
            </w:r>
            <w:r>
              <w:rPr>
                <w:rFonts w:hint="eastAsia" w:ascii="仿宋" w:hAnsi="仿宋" w:eastAsia="仿宋" w:cs="仿宋"/>
                <w:b/>
                <w:bCs/>
                <w:sz w:val="28"/>
                <w:szCs w:val="28"/>
                <w:lang w:val="en-US" w:eastAsia="zh-CN"/>
              </w:rPr>
              <w:t>打造“多维拓展资源”矩阵</w:t>
            </w:r>
          </w:p>
          <w:p w14:paraId="233F31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教材突破传统纸质载体的局限，以“赋能学生职业探索”为核心，创新性搭建包含</w:t>
            </w:r>
            <w:r>
              <w:rPr>
                <w:rFonts w:hint="eastAsia" w:ascii="仿宋" w:hAnsi="仿宋" w:cs="仿宋"/>
                <w:sz w:val="28"/>
                <w:szCs w:val="28"/>
                <w:lang w:val="en-US" w:eastAsia="zh-CN"/>
              </w:rPr>
              <w:t>教师录制</w:t>
            </w:r>
            <w:r>
              <w:rPr>
                <w:rFonts w:hint="eastAsia" w:ascii="仿宋" w:hAnsi="仿宋" w:eastAsia="仿宋" w:cs="仿宋"/>
                <w:sz w:val="28"/>
                <w:szCs w:val="28"/>
                <w:lang w:val="en-US" w:eastAsia="zh-CN"/>
              </w:rPr>
              <w:t>微视频、</w:t>
            </w:r>
            <w:r>
              <w:rPr>
                <w:rFonts w:hint="default" w:ascii="仿宋" w:hAnsi="仿宋" w:eastAsia="仿宋" w:cs="仿宋"/>
                <w:sz w:val="28"/>
                <w:szCs w:val="28"/>
                <w:lang w:val="en-US" w:eastAsia="zh-CN"/>
              </w:rPr>
              <w:t>职业测评工具</w:t>
            </w:r>
            <w:r>
              <w:rPr>
                <w:rFonts w:hint="eastAsia" w:ascii="仿宋" w:hAnsi="仿宋" w:eastAsia="仿宋" w:cs="仿宋"/>
                <w:sz w:val="28"/>
                <w:szCs w:val="28"/>
                <w:lang w:val="en-US" w:eastAsia="zh-CN"/>
              </w:rPr>
              <w:t>与职业探索资料</w:t>
            </w:r>
            <w:r>
              <w:rPr>
                <w:rFonts w:hint="default" w:ascii="仿宋" w:hAnsi="仿宋" w:eastAsia="仿宋" w:cs="仿宋"/>
                <w:sz w:val="28"/>
                <w:szCs w:val="28"/>
                <w:lang w:val="en-US" w:eastAsia="zh-CN"/>
              </w:rPr>
              <w:t>的立体化拓展资源体系，将职业认知从“静态阅读”延伸至“动态实践”，为学生提前规划职业路径提供精准支持。</w:t>
            </w:r>
          </w:p>
          <w:p w14:paraId="2D1679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2" w:firstLineChars="200"/>
              <w:textAlignment w:val="auto"/>
              <w:rPr>
                <w:rFonts w:hint="default" w:ascii="仿宋" w:hAnsi="仿宋" w:eastAsia="仿宋" w:cs="仿宋"/>
                <w:b/>
                <w:bCs/>
                <w:sz w:val="28"/>
                <w:szCs w:val="28"/>
                <w:lang w:val="en-US" w:eastAsia="zh-CN"/>
              </w:rPr>
            </w:pPr>
            <w:r>
              <w:rPr>
                <w:rFonts w:hint="eastAsia" w:ascii="仿宋" w:hAnsi="仿宋" w:cs="仿宋"/>
                <w:b/>
                <w:bCs/>
                <w:sz w:val="28"/>
                <w:szCs w:val="28"/>
                <w:lang w:val="en-US" w:eastAsia="zh-CN"/>
              </w:rPr>
              <w:t>4.6</w:t>
            </w:r>
            <w:r>
              <w:rPr>
                <w:rFonts w:hint="eastAsia" w:ascii="仿宋" w:hAnsi="仿宋" w:eastAsia="仿宋" w:cs="仿宋"/>
                <w:b/>
                <w:bCs/>
                <w:sz w:val="28"/>
                <w:szCs w:val="28"/>
                <w:lang w:val="en-US" w:eastAsia="zh-CN"/>
              </w:rPr>
              <w:t>贯穿“全周期培养”逻辑</w:t>
            </w:r>
          </w:p>
          <w:p w14:paraId="210FAB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default" w:ascii="宋体" w:hAnsi="宋体" w:cs="宋体"/>
                <w:b w:val="0"/>
                <w:bCs w:val="0"/>
                <w:sz w:val="24"/>
                <w:szCs w:val="24"/>
                <w:lang w:val="en-US" w:eastAsia="zh-CN"/>
              </w:rPr>
            </w:pPr>
            <w:r>
              <w:rPr>
                <w:rFonts w:hint="default" w:ascii="仿宋" w:hAnsi="仿宋" w:eastAsia="仿宋" w:cs="仿宋"/>
                <w:sz w:val="28"/>
                <w:szCs w:val="28"/>
                <w:lang w:val="en-US" w:eastAsia="zh-CN"/>
              </w:rPr>
              <w:t>教材深度贯穿大一至大三整个学习周期，从新生入学的职业认知启蒙，到大二专业学习中的职业能力适配，再到大三的求职实战指导，实现全程化、阶梯式的就业教育覆盖</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，助力学生逐步构建完整的就业能力体系。</w:t>
            </w:r>
          </w:p>
          <w:p w14:paraId="2D79F775">
            <w:pPr>
              <w:keepNext w:val="0"/>
              <w:keepLines w:val="0"/>
              <w:suppressLineNumbers w:val="0"/>
              <w:suppressAutoHyphens/>
              <w:spacing w:before="156" w:beforeLines="50" w:beforeAutospacing="0" w:after="156" w:afterLines="50" w:afterAutospacing="0" w:line="460" w:lineRule="exact"/>
              <w:ind w:left="0" w:right="0" w:firstLine="643" w:firstLineChars="200"/>
              <w:rPr>
                <w:rFonts w:hint="default"/>
                <w:b/>
                <w:bCs/>
                <w:sz w:val="32"/>
                <w:szCs w:val="32"/>
              </w:rPr>
            </w:pPr>
            <w:r>
              <w:rPr>
                <w:rFonts w:hint="eastAsia"/>
                <w:b/>
                <w:bCs/>
                <w:sz w:val="32"/>
                <w:szCs w:val="32"/>
              </w:rPr>
              <w:t>5.应用效果</w:t>
            </w:r>
          </w:p>
          <w:p w14:paraId="3B1713C1">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b/>
                <w:bCs/>
                <w:sz w:val="28"/>
              </w:rPr>
            </w:pPr>
            <w:r>
              <w:rPr>
                <w:rFonts w:hint="eastAsia" w:ascii="仿宋" w:hAnsi="仿宋"/>
                <w:b/>
                <w:bCs/>
                <w:sz w:val="28"/>
              </w:rPr>
              <w:t>5.1教材应用范围及基本情况</w:t>
            </w:r>
          </w:p>
          <w:p w14:paraId="7F5D9B31">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应用对象</w:t>
            </w:r>
            <w:r>
              <w:rPr>
                <w:rFonts w:hint="eastAsia" w:ascii="仿宋" w:hAnsi="仿宋"/>
                <w:sz w:val="28"/>
              </w:rPr>
              <w:t>：目前，该教材已全面覆盖保定理工学院大一、大二两个年级的本、专科学生，后续将逐步推广至大三学生使用。作为《大学生职业生涯规划与就业指导》必修课程的统一指定用书，该教材贯穿学生从大一至大三的整个学习阶段，系统服务于学生的职业发展与就业指导需求。</w:t>
            </w:r>
          </w:p>
          <w:p w14:paraId="45179CF6">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覆盖规模</w:t>
            </w:r>
            <w:r>
              <w:rPr>
                <w:rFonts w:hint="eastAsia" w:ascii="仿宋" w:hAnsi="仿宋"/>
                <w:sz w:val="28"/>
              </w:rPr>
              <w:t>：教材年均使用量超过1</w:t>
            </w:r>
            <w:r>
              <w:rPr>
                <w:rFonts w:hint="eastAsia" w:ascii="仿宋" w:hAnsi="仿宋"/>
                <w:sz w:val="28"/>
                <w:lang w:val="en-US" w:eastAsia="zh-CN"/>
              </w:rPr>
              <w:t>5</w:t>
            </w:r>
            <w:r>
              <w:rPr>
                <w:rFonts w:hint="eastAsia" w:ascii="仿宋" w:hAnsi="仿宋"/>
                <w:sz w:val="28"/>
              </w:rPr>
              <w:t>000 册，涵盖对低年级学生职业生涯教育、高年级专项就业指导与实习实践，全覆盖各个年级需要。</w:t>
            </w:r>
          </w:p>
          <w:p w14:paraId="35ED7471">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b/>
                <w:bCs/>
                <w:sz w:val="28"/>
              </w:rPr>
            </w:pPr>
            <w:r>
              <w:rPr>
                <w:rFonts w:hint="eastAsia" w:ascii="仿宋" w:hAnsi="仿宋"/>
                <w:b/>
                <w:bCs/>
                <w:sz w:val="28"/>
              </w:rPr>
              <w:t>5.2教学应用效果及师生反响</w:t>
            </w:r>
          </w:p>
          <w:p w14:paraId="7198DC2E">
            <w:pPr>
              <w:keepNext w:val="0"/>
              <w:keepLines w:val="0"/>
              <w:suppressLineNumbers w:val="0"/>
              <w:adjustRightInd w:val="0"/>
              <w:snapToGrid w:val="0"/>
              <w:spacing w:before="0" w:beforeAutospacing="0" w:after="0" w:afterAutospacing="0" w:line="460" w:lineRule="exact"/>
              <w:ind w:left="0" w:right="0" w:firstLine="560" w:firstLineChars="200"/>
              <w:rPr>
                <w:rFonts w:hint="eastAsia" w:ascii="仿宋" w:hAnsi="仿宋"/>
                <w:sz w:val="28"/>
              </w:rPr>
            </w:pPr>
            <w:r>
              <w:rPr>
                <w:rFonts w:hint="eastAsia" w:ascii="仿宋" w:hAnsi="仿宋"/>
                <w:sz w:val="28"/>
              </w:rPr>
              <w:t>自教材投入使用以来，其教学效果显著，获得了校内师生的高度评价。</w:t>
            </w:r>
          </w:p>
          <w:p w14:paraId="1043B558">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b/>
                <w:bCs/>
                <w:sz w:val="28"/>
              </w:rPr>
            </w:pPr>
            <w:r>
              <w:rPr>
                <w:rFonts w:hint="eastAsia" w:ascii="仿宋" w:hAnsi="仿宋"/>
                <w:b/>
                <w:bCs/>
                <w:sz w:val="28"/>
              </w:rPr>
              <w:t>5.2.1学生层面：职业生涯启蒙效果显著，学习获得感全面提升</w:t>
            </w:r>
          </w:p>
          <w:p w14:paraId="1090A25A">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教材满意度调查数据：</w:t>
            </w:r>
            <w:r>
              <w:rPr>
                <w:rFonts w:hint="eastAsia" w:ascii="仿宋" w:hAnsi="仿宋"/>
                <w:sz w:val="28"/>
              </w:rPr>
              <w:t>在教材全面投入使用后，通过对大一至大二年级开展的教材使用满意度调查显示，学生总体满意度从初期的82%提升至本学期的94%，特别是在实用性和启发性维度上提升显著。</w:t>
            </w:r>
          </w:p>
          <w:p w14:paraId="17B0FEB6">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系统性构建规划意识</w:t>
            </w:r>
            <w:r>
              <w:rPr>
                <w:rFonts w:hint="eastAsia" w:ascii="仿宋" w:hAnsi="仿宋"/>
                <w:sz w:val="28"/>
              </w:rPr>
              <w:t>：对于大一新生而言，教材有效解决了其对“大学生活如何适应”、“未来道路如何选择”的核心困惑。通过“项目一 梦想导航--构建生涯愿景”和“项目二 潜力挖掘--发现个人优势”等内容的学习，超过90%的学生表示已初步建立起职业生涯规划的基本框架，实现了从被动接受到主动规划的意识转变。</w:t>
            </w:r>
          </w:p>
          <w:p w14:paraId="7C283F71">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个性化工具深受欢迎</w:t>
            </w:r>
            <w:r>
              <w:rPr>
                <w:rFonts w:hint="eastAsia" w:ascii="仿宋" w:hAnsi="仿宋"/>
                <w:sz w:val="28"/>
              </w:rPr>
              <w:t>：教材中引入的MBTI性格测试、职业锚测试等工具，极大地激发了学生的学习兴趣。调查数据显示，88%的学生认为这些工具像一面“镜子”，帮助其更加科学地认知自我兴趣、性格和能力优势，为“项目四 定位未来——锚定生涯路径”中的决策环节提供了科学依据，使职业目标设定更具个性化和精准性。</w:t>
            </w:r>
          </w:p>
          <w:p w14:paraId="2F16BC27">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实践性内容实用性强</w:t>
            </w:r>
            <w:r>
              <w:rPr>
                <w:rFonts w:hint="eastAsia" w:ascii="仿宋" w:hAnsi="仿宋"/>
                <w:sz w:val="28"/>
              </w:rPr>
              <w:t>：大二学生对“项目六 促进就业——掌握求职方法”和“项目七 就业守护——维护合法权益”等章节评价尤为突出。95%的受访学生认为教材中提供的真实案例、简历模板、面试技巧及劳动合同法律知识等内容具有高度实用价值，有效缓解了求职焦虑，实现了“学完即用”的教学效果。</w:t>
            </w:r>
          </w:p>
          <w:p w14:paraId="163CDF70">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b/>
                <w:bCs/>
                <w:sz w:val="28"/>
              </w:rPr>
            </w:pPr>
            <w:r>
              <w:rPr>
                <w:rFonts w:hint="eastAsia" w:ascii="仿宋" w:hAnsi="仿宋"/>
                <w:b/>
                <w:bCs/>
                <w:sz w:val="28"/>
              </w:rPr>
              <w:t>5.2.2教师层面：教学支撑体系完善，校本特色成效彰显</w:t>
            </w:r>
          </w:p>
          <w:p w14:paraId="3854992A">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教学适配性高</w:t>
            </w:r>
            <w:r>
              <w:rPr>
                <w:rFonts w:hint="eastAsia" w:ascii="仿宋" w:hAnsi="仿宋"/>
                <w:sz w:val="28"/>
              </w:rPr>
              <w:t>：授课教师普遍反映，由于教材由本校教师团队编写，其内容设计、难度把控和案例选取与保定理工学院学生的学情特点、专业布局和就业导向高度契合。教学调研数据显示，教师备课效率提升约40%，能够直接将教学重心放在深度教学设计上，而非基础材料的本地化改编。</w:t>
            </w:r>
          </w:p>
          <w:p w14:paraId="2084B30E">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案例本土化，说服力强</w:t>
            </w:r>
            <w:r>
              <w:rPr>
                <w:rFonts w:hint="eastAsia" w:ascii="仿宋" w:hAnsi="仿宋"/>
                <w:sz w:val="28"/>
              </w:rPr>
              <w:t>：教材中“精选我校大学生真实求职案例”这一创新点已成为课堂教学的重要支撑。超过95%的教师认为，这些发生在学生身边的“师兄师姐”的成功经验，比外部案例更具说服力和感染力，有效激发了学生的共鸣与学习动力，使教学效果事半功倍。</w:t>
            </w:r>
          </w:p>
          <w:p w14:paraId="1DD5EEEA">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结构清晰，便于组织教学</w:t>
            </w:r>
            <w:r>
              <w:rPr>
                <w:rFonts w:hint="eastAsia" w:ascii="仿宋" w:hAnsi="仿宋"/>
                <w:sz w:val="28"/>
              </w:rPr>
              <w:t>：教材采用的“项目-任务”式编写结构与课程教学进度高度匹配。教师反馈显示，这一设计使分专题、分阶段教学更加顺畅，逻辑关系清晰，重点突出，极大提升了课堂组织的效率与质量。</w:t>
            </w:r>
          </w:p>
          <w:p w14:paraId="333B3DC8">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b/>
                <w:bCs/>
                <w:sz w:val="28"/>
              </w:rPr>
            </w:pPr>
            <w:r>
              <w:rPr>
                <w:rFonts w:hint="eastAsia" w:ascii="仿宋" w:hAnsi="仿宋"/>
                <w:b/>
                <w:bCs/>
                <w:sz w:val="28"/>
              </w:rPr>
              <w:t>5.3 总结与展望</w:t>
            </w:r>
          </w:p>
          <w:p w14:paraId="02BDF308">
            <w:pPr>
              <w:keepNext w:val="0"/>
              <w:keepLines w:val="0"/>
              <w:suppressLineNumbers w:val="0"/>
              <w:adjustRightInd w:val="0"/>
              <w:snapToGrid w:val="0"/>
              <w:spacing w:before="0" w:beforeAutospacing="0" w:after="0" w:afterAutospacing="0" w:line="460" w:lineRule="exact"/>
              <w:ind w:left="0" w:right="0" w:firstLine="560" w:firstLineChars="200"/>
              <w:rPr>
                <w:rFonts w:hint="eastAsia" w:ascii="仿宋" w:hAnsi="仿宋"/>
                <w:sz w:val="28"/>
              </w:rPr>
            </w:pPr>
            <w:r>
              <w:rPr>
                <w:rFonts w:hint="eastAsia" w:ascii="仿宋" w:hAnsi="仿宋"/>
                <w:sz w:val="28"/>
              </w:rPr>
              <w:t>总体而言，该教材作为保定理工学院的校本教材，其应用是成功且高效的。它成功地将国家政策、社会需求、学校特色与学生个体发展有机融合，为学生提供了一套系统、实用的职业生涯规划行动指南。</w:t>
            </w:r>
          </w:p>
          <w:p w14:paraId="4C21376C">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b/>
                <w:bCs/>
                <w:sz w:val="28"/>
              </w:rPr>
            </w:pPr>
            <w:r>
              <w:rPr>
                <w:rFonts w:hint="eastAsia" w:ascii="仿宋" w:hAnsi="仿宋"/>
                <w:b/>
                <w:bCs/>
                <w:sz w:val="28"/>
              </w:rPr>
              <w:t>未来改进方向建议：</w:t>
            </w:r>
          </w:p>
          <w:p w14:paraId="315808F3">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5.3.1建立动态案例更新机制</w:t>
            </w:r>
            <w:r>
              <w:rPr>
                <w:rFonts w:hint="eastAsia" w:ascii="仿宋" w:hAnsi="仿宋"/>
                <w:sz w:val="28"/>
              </w:rPr>
              <w:t>：建议每年收集最新一届毕业生的典型案例，对教材案例库进行补充和更新，保持其鲜活度。</w:t>
            </w:r>
          </w:p>
          <w:p w14:paraId="195C0D2C">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5.3.2开发配套数字化资源</w:t>
            </w:r>
            <w:r>
              <w:rPr>
                <w:rFonts w:hint="eastAsia" w:ascii="仿宋" w:hAnsi="仿宋"/>
                <w:sz w:val="28"/>
              </w:rPr>
              <w:t>：可考虑开发与教材配套的微课视频、在线测评系统、教学课件库等数字化资源，构建线上线下混合式教学新模式。</w:t>
            </w:r>
          </w:p>
          <w:p w14:paraId="7B7221FB">
            <w:pPr>
              <w:keepNext w:val="0"/>
              <w:keepLines w:val="0"/>
              <w:suppressLineNumbers w:val="0"/>
              <w:adjustRightInd w:val="0"/>
              <w:snapToGrid w:val="0"/>
              <w:spacing w:before="0" w:beforeAutospacing="0" w:after="0" w:afterAutospacing="0" w:line="460" w:lineRule="exact"/>
              <w:ind w:left="0" w:right="0" w:firstLine="562" w:firstLineChars="200"/>
              <w:rPr>
                <w:rFonts w:hint="eastAsia" w:ascii="仿宋" w:hAnsi="仿宋"/>
                <w:sz w:val="28"/>
              </w:rPr>
            </w:pPr>
            <w:r>
              <w:rPr>
                <w:rFonts w:hint="eastAsia" w:ascii="仿宋" w:hAnsi="仿宋"/>
                <w:b/>
                <w:bCs/>
                <w:sz w:val="28"/>
              </w:rPr>
              <w:t>5.3.3深化分专业指导内容</w:t>
            </w:r>
            <w:r>
              <w:rPr>
                <w:rFonts w:hint="eastAsia" w:ascii="仿宋" w:hAnsi="仿宋"/>
                <w:sz w:val="28"/>
              </w:rPr>
              <w:t>：未来可进一步结合学校各专业集群的特点，编写更具专业针对性的补充读本或教学指南，将生涯教育更深度的融入专业教育。</w:t>
            </w:r>
          </w:p>
          <w:p w14:paraId="318B98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59B9A6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124D0C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32A861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2A115B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57F23C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5B78CB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76B7D6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563D8D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43B3F9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rPr>
            </w:pPr>
          </w:p>
          <w:p w14:paraId="6891B4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560" w:firstLineChars="200"/>
              <w:textAlignment w:val="auto"/>
              <w:rPr>
                <w:rFonts w:hint="eastAsia" w:ascii="仿宋" w:hAnsi="仿宋"/>
                <w:sz w:val="28"/>
                <w:lang w:val="en-US" w:eastAsia="zh-CN"/>
              </w:rPr>
            </w:pPr>
          </w:p>
        </w:tc>
      </w:tr>
    </w:tbl>
    <w:p w14:paraId="137DDDC0">
      <w:pPr>
        <w:suppressAutoHyphens/>
        <w:spacing w:line="560" w:lineRule="exact"/>
        <w:jc w:val="left"/>
        <w:rPr>
          <w:rFonts w:ascii="黑体" w:hAnsi="黑体" w:eastAsia="黑体"/>
          <w:sz w:val="32"/>
          <w:szCs w:val="32"/>
        </w:rPr>
      </w:pPr>
      <w:r>
        <w:rPr>
          <w:rFonts w:ascii="Calibri" w:hAnsi="Calibri" w:eastAsia="微软雅黑"/>
          <w:sz w:val="28"/>
        </w:rPr>
        <w:br w:type="page"/>
      </w:r>
      <w:r>
        <w:rPr>
          <w:rFonts w:hint="eastAsia" w:ascii="黑体" w:hAnsi="黑体" w:eastAsia="黑体"/>
          <w:sz w:val="32"/>
          <w:szCs w:val="32"/>
        </w:rPr>
        <w:t>五、申报单位意见</w:t>
      </w:r>
    </w:p>
    <w:tbl>
      <w:tblPr>
        <w:tblStyle w:val="4"/>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6"/>
        <w:gridCol w:w="3086"/>
        <w:gridCol w:w="1701"/>
        <w:gridCol w:w="2376"/>
      </w:tblGrid>
      <w:tr w14:paraId="1EDB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56" w:type="dxa"/>
            <w:vAlign w:val="center"/>
          </w:tcPr>
          <w:p w14:paraId="1F29328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default" w:ascii="仿宋_GB2312" w:hAnsi="仿宋_GB2312" w:eastAsia="仿宋_GB2312" w:cs="仿宋_GB2312"/>
                <w:sz w:val="28"/>
                <w:szCs w:val="32"/>
              </w:rPr>
            </w:pPr>
            <w:r>
              <w:rPr>
                <w:rFonts w:hint="eastAsia" w:ascii="仿宋_GB2312" w:hAnsi="仿宋_GB2312" w:eastAsia="仿宋_GB2312" w:cs="仿宋_GB2312"/>
                <w:sz w:val="28"/>
                <w:szCs w:val="32"/>
              </w:rPr>
              <w:t>单位名称</w:t>
            </w:r>
          </w:p>
        </w:tc>
        <w:tc>
          <w:tcPr>
            <w:tcW w:w="3086" w:type="dxa"/>
            <w:vAlign w:val="center"/>
          </w:tcPr>
          <w:p w14:paraId="5344380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仿宋_GB2312" w:hAnsi="仿宋_GB2312" w:eastAsia="仿宋_GB2312" w:cs="仿宋_GB2312"/>
                <w:sz w:val="28"/>
                <w:szCs w:val="32"/>
                <w:highlight w:val="none"/>
                <w:lang w:eastAsia="zh-CN"/>
              </w:rPr>
            </w:pPr>
            <w:r>
              <w:rPr>
                <w:rFonts w:hint="eastAsia" w:ascii="仿宋_GB2312" w:hAnsi="仿宋_GB2312" w:eastAsia="仿宋_GB2312" w:cs="仿宋_GB2312"/>
                <w:sz w:val="28"/>
                <w:szCs w:val="32"/>
                <w:highlight w:val="none"/>
                <w:lang w:eastAsia="zh-CN"/>
              </w:rPr>
              <w:t>保定理工学院</w:t>
            </w:r>
          </w:p>
        </w:tc>
        <w:tc>
          <w:tcPr>
            <w:tcW w:w="1701" w:type="dxa"/>
            <w:vAlign w:val="center"/>
          </w:tcPr>
          <w:p w14:paraId="1EB0D28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default" w:ascii="仿宋_GB2312" w:hAnsi="仿宋_GB2312" w:eastAsia="仿宋_GB2312" w:cs="仿宋_GB2312"/>
                <w:sz w:val="28"/>
                <w:szCs w:val="32"/>
                <w:highlight w:val="none"/>
              </w:rPr>
            </w:pPr>
            <w:r>
              <w:rPr>
                <w:rFonts w:hint="eastAsia" w:ascii="仿宋_GB2312" w:hAnsi="仿宋_GB2312" w:eastAsia="仿宋_GB2312" w:cs="仿宋_GB2312"/>
                <w:sz w:val="28"/>
                <w:szCs w:val="32"/>
                <w:highlight w:val="none"/>
              </w:rPr>
              <w:t>联 系 人</w:t>
            </w:r>
          </w:p>
        </w:tc>
        <w:tc>
          <w:tcPr>
            <w:tcW w:w="2376" w:type="dxa"/>
            <w:vAlign w:val="center"/>
          </w:tcPr>
          <w:p w14:paraId="4615158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189" w:right="0"/>
              <w:jc w:val="center"/>
              <w:textAlignment w:val="auto"/>
              <w:rPr>
                <w:rFonts w:hint="eastAsia" w:ascii="仿宋_GB2312" w:hAnsi="仿宋_GB2312" w:eastAsia="仿宋_GB2312" w:cs="仿宋_GB2312"/>
                <w:sz w:val="28"/>
                <w:szCs w:val="32"/>
                <w:highlight w:val="none"/>
                <w:lang w:eastAsia="zh-CN"/>
              </w:rPr>
            </w:pPr>
            <w:r>
              <w:rPr>
                <w:rFonts w:hint="eastAsia" w:ascii="仿宋_GB2312" w:hAnsi="仿宋_GB2312" w:eastAsia="仿宋_GB2312" w:cs="仿宋_GB2312"/>
                <w:sz w:val="28"/>
                <w:szCs w:val="32"/>
                <w:highlight w:val="none"/>
                <w:lang w:eastAsia="zh-CN"/>
              </w:rPr>
              <w:t>李倩</w:t>
            </w:r>
          </w:p>
        </w:tc>
      </w:tr>
      <w:tr w14:paraId="1A05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56" w:type="dxa"/>
            <w:vAlign w:val="center"/>
          </w:tcPr>
          <w:p w14:paraId="0C5D5C0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default" w:ascii="仿宋_GB2312" w:hAnsi="仿宋_GB2312" w:eastAsia="仿宋_GB2312" w:cs="仿宋_GB2312"/>
                <w:sz w:val="28"/>
                <w:szCs w:val="32"/>
              </w:rPr>
            </w:pPr>
            <w:r>
              <w:rPr>
                <w:rFonts w:hint="eastAsia" w:ascii="仿宋_GB2312" w:hAnsi="仿宋_GB2312" w:eastAsia="仿宋_GB2312" w:cs="仿宋_GB2312"/>
                <w:sz w:val="28"/>
                <w:szCs w:val="32"/>
              </w:rPr>
              <w:t>联系电话</w:t>
            </w:r>
          </w:p>
        </w:tc>
        <w:tc>
          <w:tcPr>
            <w:tcW w:w="3086" w:type="dxa"/>
            <w:vAlign w:val="center"/>
          </w:tcPr>
          <w:p w14:paraId="09EA077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default" w:ascii="仿宋_GB2312" w:hAnsi="仿宋_GB2312" w:eastAsia="仿宋_GB2312" w:cs="仿宋_GB2312"/>
                <w:sz w:val="28"/>
                <w:szCs w:val="32"/>
                <w:highlight w:val="none"/>
                <w:lang w:val="en-US" w:eastAsia="zh-CN"/>
              </w:rPr>
            </w:pPr>
            <w:r>
              <w:rPr>
                <w:rFonts w:hint="eastAsia" w:ascii="仿宋_GB2312" w:hAnsi="仿宋_GB2312" w:eastAsia="仿宋_GB2312" w:cs="仿宋_GB2312"/>
                <w:sz w:val="28"/>
                <w:szCs w:val="32"/>
                <w:highlight w:val="none"/>
                <w:lang w:val="en-US" w:eastAsia="zh-CN"/>
              </w:rPr>
              <w:t>15631251682</w:t>
            </w:r>
          </w:p>
        </w:tc>
        <w:tc>
          <w:tcPr>
            <w:tcW w:w="1701" w:type="dxa"/>
            <w:vAlign w:val="center"/>
          </w:tcPr>
          <w:p w14:paraId="3F2F4D5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default" w:ascii="仿宋_GB2312" w:hAnsi="仿宋_GB2312" w:eastAsia="仿宋_GB2312" w:cs="仿宋_GB2312"/>
                <w:sz w:val="28"/>
                <w:szCs w:val="32"/>
                <w:highlight w:val="none"/>
              </w:rPr>
            </w:pPr>
            <w:r>
              <w:rPr>
                <w:rFonts w:hint="eastAsia" w:ascii="仿宋_GB2312" w:hAnsi="仿宋_GB2312" w:eastAsia="仿宋_GB2312" w:cs="仿宋_GB2312"/>
                <w:sz w:val="28"/>
                <w:szCs w:val="32"/>
                <w:highlight w:val="none"/>
              </w:rPr>
              <w:t>电子邮箱</w:t>
            </w:r>
          </w:p>
        </w:tc>
        <w:tc>
          <w:tcPr>
            <w:tcW w:w="2376" w:type="dxa"/>
            <w:vAlign w:val="center"/>
          </w:tcPr>
          <w:p w14:paraId="035609A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189" w:right="0"/>
              <w:jc w:val="center"/>
              <w:textAlignment w:val="auto"/>
              <w:rPr>
                <w:rFonts w:hint="default"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120371254@qq.com</w:t>
            </w:r>
          </w:p>
        </w:tc>
      </w:tr>
      <w:tr w14:paraId="59A4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619" w:type="dxa"/>
            <w:gridSpan w:val="4"/>
            <w:vAlign w:val="center"/>
          </w:tcPr>
          <w:p w14:paraId="4F18023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176" w:right="0" w:hanging="292"/>
              <w:jc w:val="center"/>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学校就业部门意见</w:t>
            </w:r>
          </w:p>
        </w:tc>
      </w:tr>
      <w:tr w14:paraId="5764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exact"/>
          <w:jc w:val="center"/>
        </w:trPr>
        <w:tc>
          <w:tcPr>
            <w:tcW w:w="8619" w:type="dxa"/>
            <w:gridSpan w:val="4"/>
            <w:vAlign w:val="center"/>
          </w:tcPr>
          <w:p w14:paraId="40676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（须有具体明确意见）</w:t>
            </w:r>
          </w:p>
          <w:p w14:paraId="17AD2F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4B462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仿宋_GB2312" w:hAnsi="仿宋_GB2312" w:eastAsia="仿宋_GB2312" w:cs="仿宋_GB2312"/>
                <w:sz w:val="28"/>
                <w:szCs w:val="28"/>
              </w:rPr>
            </w:pPr>
          </w:p>
          <w:p w14:paraId="44273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176" w:right="0" w:firstLine="5888" w:firstLineChars="2103"/>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（盖章）</w:t>
            </w:r>
          </w:p>
          <w:p w14:paraId="5AF899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176" w:right="0" w:firstLine="5888" w:firstLineChars="2103"/>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年 </w:t>
            </w:r>
            <w:r>
              <w:rPr>
                <w:rFonts w:hint="default"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月 </w:t>
            </w:r>
            <w:r>
              <w:rPr>
                <w:rFonts w:hint="default"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w:t>
            </w:r>
          </w:p>
        </w:tc>
      </w:tr>
      <w:tr w14:paraId="789A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619" w:type="dxa"/>
            <w:gridSpan w:val="4"/>
            <w:vAlign w:val="center"/>
          </w:tcPr>
          <w:p w14:paraId="6BCE6C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176" w:right="0" w:hanging="176"/>
              <w:jc w:val="center"/>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学校教务部门意见</w:t>
            </w:r>
          </w:p>
        </w:tc>
      </w:tr>
      <w:tr w14:paraId="633A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exact"/>
          <w:jc w:val="center"/>
        </w:trPr>
        <w:tc>
          <w:tcPr>
            <w:tcW w:w="8619" w:type="dxa"/>
            <w:gridSpan w:val="4"/>
            <w:vAlign w:val="center"/>
          </w:tcPr>
          <w:p w14:paraId="2AC34D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（须有具体明确意见）</w:t>
            </w:r>
          </w:p>
          <w:p w14:paraId="1E1911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仿宋_GB2312" w:hAnsi="仿宋_GB2312" w:eastAsia="仿宋_GB2312" w:cs="仿宋_GB2312"/>
                <w:sz w:val="28"/>
                <w:szCs w:val="28"/>
              </w:rPr>
            </w:pPr>
          </w:p>
          <w:p w14:paraId="1F5DF0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仿宋_GB2312" w:hAnsi="仿宋_GB2312" w:eastAsia="仿宋_GB2312" w:cs="仿宋_GB2312"/>
                <w:sz w:val="28"/>
                <w:szCs w:val="28"/>
              </w:rPr>
            </w:pPr>
          </w:p>
          <w:p w14:paraId="4F64FC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176" w:right="0" w:firstLine="5888" w:firstLineChars="2103"/>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（盖章）</w:t>
            </w:r>
          </w:p>
          <w:p w14:paraId="07812A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176" w:right="0" w:firstLine="5888" w:firstLineChars="2103"/>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 xml:space="preserve">年 </w:t>
            </w:r>
            <w:r>
              <w:rPr>
                <w:rFonts w:hint="default"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月 </w:t>
            </w:r>
            <w:r>
              <w:rPr>
                <w:rFonts w:hint="default"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w:t>
            </w:r>
          </w:p>
        </w:tc>
      </w:tr>
      <w:tr w14:paraId="7721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619" w:type="dxa"/>
            <w:gridSpan w:val="4"/>
            <w:vAlign w:val="center"/>
          </w:tcPr>
          <w:p w14:paraId="4E79C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申报学校意见</w:t>
            </w:r>
          </w:p>
        </w:tc>
      </w:tr>
      <w:tr w14:paraId="5CDE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8" w:hRule="exact"/>
          <w:jc w:val="center"/>
        </w:trPr>
        <w:tc>
          <w:tcPr>
            <w:tcW w:w="8619" w:type="dxa"/>
            <w:gridSpan w:val="4"/>
            <w:vAlign w:val="center"/>
          </w:tcPr>
          <w:p w14:paraId="77CF05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本单位承诺以上填报内容真实、准确，并按规定进行了公示和异议处理，同意申报。</w:t>
            </w:r>
          </w:p>
          <w:p w14:paraId="0E4B2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仿宋_GB2312" w:hAnsi="仿宋_GB2312" w:eastAsia="仿宋_GB2312" w:cs="仿宋_GB2312"/>
                <w:sz w:val="28"/>
                <w:szCs w:val="28"/>
              </w:rPr>
            </w:pPr>
          </w:p>
          <w:p w14:paraId="436C78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621EB9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5880" w:firstLineChars="2100"/>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（单位公章）</w:t>
            </w:r>
          </w:p>
          <w:p w14:paraId="40B3B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1400" w:firstLineChars="5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年 </w:t>
            </w:r>
            <w:r>
              <w:rPr>
                <w:rFonts w:hint="default"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月 </w:t>
            </w:r>
            <w:r>
              <w:rPr>
                <w:rFonts w:hint="default"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w:t>
            </w:r>
          </w:p>
        </w:tc>
      </w:tr>
    </w:tbl>
    <w:p w14:paraId="1DB65AA4">
      <w:pPr>
        <w:suppressAutoHyphens/>
        <w:spacing w:line="560" w:lineRule="exact"/>
        <w:jc w:val="left"/>
        <w:rPr>
          <w:rFonts w:eastAsia="黑体"/>
          <w:sz w:val="32"/>
          <w:szCs w:val="32"/>
        </w:rPr>
      </w:pPr>
      <w:r>
        <w:rPr>
          <w:rFonts w:hint="eastAsia" w:eastAsia="黑体"/>
          <w:sz w:val="32"/>
          <w:szCs w:val="32"/>
        </w:rPr>
        <w:t>六、申报单位政治审查意见</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D46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4" w:hRule="atLeast"/>
          <w:jc w:val="center"/>
        </w:trPr>
        <w:tc>
          <w:tcPr>
            <w:tcW w:w="8522" w:type="dxa"/>
            <w:tcBorders>
              <w:top w:val="single" w:color="auto" w:sz="4" w:space="0"/>
              <w:left w:val="single" w:color="auto" w:sz="4" w:space="0"/>
              <w:bottom w:val="single" w:color="auto" w:sz="4" w:space="0"/>
              <w:right w:val="single" w:color="auto" w:sz="4" w:space="0"/>
            </w:tcBorders>
            <w:vAlign w:val="center"/>
          </w:tcPr>
          <w:p w14:paraId="6BB60F50">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440" w:lineRule="exact"/>
              <w:ind w:left="0" w:right="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该教材内容及申报材料无危害国家安全、涉密及其他不适宜公开传播的内容，思想导向正确，不存在思想性问题。</w:t>
            </w:r>
          </w:p>
          <w:p w14:paraId="3F72DA39">
            <w:pPr>
              <w:keepNext w:val="0"/>
              <w:keepLines w:val="0"/>
              <w:pageBreakBefore w:val="0"/>
              <w:widowControl w:val="0"/>
              <w:suppressLineNumbers w:val="0"/>
              <w:suppressAutoHyphens/>
              <w:kinsoku/>
              <w:wordWrap/>
              <w:overflowPunct/>
              <w:topLinePunct w:val="0"/>
              <w:autoSpaceDE/>
              <w:autoSpaceDN/>
              <w:bidi w:val="0"/>
              <w:adjustRightInd/>
              <w:spacing w:before="0" w:beforeAutospacing="0" w:after="0" w:afterAutospacing="0" w:line="440" w:lineRule="exact"/>
              <w:ind w:left="0" w:right="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该教材编者政治立场坚定，遵纪守法，无违法违纪行为，不存在师德师风、学术不端等问题，五年内未出现过重大教学事故。</w:t>
            </w:r>
          </w:p>
          <w:p w14:paraId="17AB232D">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440" w:lineRule="exact"/>
              <w:ind w:left="0" w:right="0" w:firstLine="560" w:firstLineChars="200"/>
              <w:textAlignment w:val="auto"/>
              <w:rPr>
                <w:rFonts w:hint="default" w:ascii="仿宋_GB2312" w:hAnsi="仿宋_GB2312" w:eastAsia="仿宋_GB2312" w:cs="仿宋_GB2312"/>
                <w:kern w:val="0"/>
                <w:sz w:val="28"/>
                <w:szCs w:val="28"/>
              </w:rPr>
            </w:pPr>
          </w:p>
          <w:p w14:paraId="5FFCA692">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440" w:lineRule="exact"/>
              <w:ind w:left="0" w:right="0" w:firstLine="560" w:firstLineChars="200"/>
              <w:textAlignment w:val="auto"/>
              <w:rPr>
                <w:rFonts w:hint="default" w:ascii="仿宋_GB2312" w:hAnsi="仿宋_GB2312" w:eastAsia="仿宋_GB2312" w:cs="仿宋_GB2312"/>
                <w:kern w:val="0"/>
                <w:sz w:val="28"/>
                <w:szCs w:val="28"/>
              </w:rPr>
            </w:pPr>
          </w:p>
          <w:p w14:paraId="6839FF3B">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440" w:lineRule="exact"/>
              <w:ind w:left="0" w:right="0" w:firstLine="560" w:firstLineChars="200"/>
              <w:textAlignment w:val="auto"/>
              <w:rPr>
                <w:rFonts w:hint="default" w:ascii="仿宋_GB2312" w:hAnsi="仿宋_GB2312" w:eastAsia="仿宋_GB2312" w:cs="仿宋_GB2312"/>
                <w:kern w:val="0"/>
                <w:sz w:val="28"/>
                <w:szCs w:val="28"/>
              </w:rPr>
            </w:pPr>
          </w:p>
          <w:p w14:paraId="37FEBBF2">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440" w:lineRule="exact"/>
              <w:ind w:left="0" w:right="0" w:firstLine="560" w:firstLineChars="200"/>
              <w:textAlignment w:val="auto"/>
              <w:rPr>
                <w:rFonts w:hint="eastAsia" w:ascii="仿宋_GB2312" w:hAnsi="仿宋_GB2312" w:eastAsia="仿宋_GB2312" w:cs="仿宋_GB2312"/>
                <w:kern w:val="0"/>
                <w:sz w:val="28"/>
                <w:szCs w:val="28"/>
              </w:rPr>
            </w:pPr>
          </w:p>
          <w:p w14:paraId="59D144B6">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440" w:lineRule="exact"/>
              <w:ind w:left="0" w:right="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val="en-US" w:eastAsia="zh-CN"/>
              </w:rPr>
              <w:t>盖</w:t>
            </w:r>
            <w:r>
              <w:rPr>
                <w:rFonts w:hint="eastAsia" w:ascii="仿宋_GB2312" w:hAnsi="仿宋_GB2312" w:eastAsia="仿宋_GB2312" w:cs="仿宋_GB2312"/>
                <w:kern w:val="0"/>
                <w:sz w:val="28"/>
                <w:szCs w:val="28"/>
              </w:rPr>
              <w:t>章）</w:t>
            </w:r>
          </w:p>
          <w:p w14:paraId="0A5D79F8">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440" w:lineRule="exact"/>
              <w:ind w:left="0" w:right="0" w:firstLine="560" w:firstLineChars="200"/>
              <w:textAlignment w:val="auto"/>
              <w:rPr>
                <w:rFonts w:hint="eastAsia" w:ascii="Calibri" w:hAnsi="Calibri"/>
                <w:kern w:val="0"/>
                <w:sz w:val="24"/>
              </w:rPr>
            </w:pPr>
            <w:r>
              <w:rPr>
                <w:rFonts w:hint="eastAsia" w:ascii="仿宋_GB2312" w:hAnsi="仿宋_GB2312" w:eastAsia="仿宋_GB2312" w:cs="仿宋_GB2312"/>
                <w:kern w:val="0"/>
                <w:sz w:val="28"/>
                <w:szCs w:val="28"/>
              </w:rPr>
              <w:t xml:space="preserve">                                     年   月   日 </w:t>
            </w:r>
          </w:p>
        </w:tc>
      </w:tr>
    </w:tbl>
    <w:p w14:paraId="46C928F0">
      <w:pPr>
        <w:spacing w:line="560" w:lineRule="exact"/>
        <w:ind w:right="327"/>
        <w:rPr>
          <w:rFonts w:ascii="微软雅黑" w:hAnsi="微软雅黑" w:eastAsia="微软雅黑" w:cs="微软雅黑"/>
          <w:color w:val="000000"/>
          <w:kern w:val="0"/>
          <w:sz w:val="44"/>
          <w:szCs w:val="44"/>
        </w:rPr>
      </w:pPr>
    </w:p>
    <w:p w14:paraId="6C01B291">
      <w:pPr>
        <w:ind w:firstLine="560" w:firstLineChars="200"/>
        <w:rPr>
          <w:rFonts w:ascii="仿宋_GB2312" w:hAnsi="仿宋_GB2312" w:eastAsia="仿宋_GB2312" w:cs="仿宋_GB2312"/>
          <w:sz w:val="28"/>
          <w:szCs w:val="28"/>
        </w:rPr>
      </w:pPr>
    </w:p>
    <w:p w14:paraId="23E344B9">
      <w:pPr>
        <w:sectPr>
          <w:pgSz w:w="11906" w:h="16838"/>
          <w:pgMar w:top="1440" w:right="1800" w:bottom="1440" w:left="1800" w:header="720" w:footer="720" w:gutter="0"/>
          <w:pgNumType w:fmt="decimal"/>
          <w:cols w:space="720" w:num="1"/>
          <w:docGrid w:type="lines" w:linePitch="312" w:charSpace="0"/>
        </w:sectPr>
      </w:pPr>
    </w:p>
    <w:p w14:paraId="6430B837"/>
    <w:sectPr>
      <w:pgSz w:w="11906" w:h="16838"/>
      <w:pgMar w:top="1440" w:right="1800" w:bottom="1440" w:left="180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5B80AD-6D33-402F-B8EC-382E4FB10D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7799A5A-B753-4A05-9013-235FB52E0648}"/>
  </w:font>
  <w:font w:name="仿宋">
    <w:panose1 w:val="02010609060101010101"/>
    <w:charset w:val="86"/>
    <w:family w:val="modern"/>
    <w:pitch w:val="default"/>
    <w:sig w:usb0="800002BF" w:usb1="38CF7CFA" w:usb2="00000016" w:usb3="00000000" w:csb0="00040001" w:csb1="00000000"/>
    <w:embedRegular r:id="rId3" w:fontKey="{BB6919A1-0316-4A27-B199-710EC3AE2DCA}"/>
  </w:font>
  <w:font w:name="方正小标宋简体">
    <w:panose1 w:val="03000509000000000000"/>
    <w:charset w:val="86"/>
    <w:family w:val="auto"/>
    <w:pitch w:val="default"/>
    <w:sig w:usb0="00000001" w:usb1="080E0000" w:usb2="00000000" w:usb3="00000000" w:csb0="00040000" w:csb1="00000000"/>
    <w:embedRegular r:id="rId4" w:fontKey="{2067A0AE-2A1A-4EE0-A653-506BF3B22334}"/>
  </w:font>
  <w:font w:name="微软雅黑">
    <w:panose1 w:val="020B0503020204020204"/>
    <w:charset w:val="86"/>
    <w:family w:val="auto"/>
    <w:pitch w:val="default"/>
    <w:sig w:usb0="80000287" w:usb1="2ACF3C50" w:usb2="00000016" w:usb3="00000000" w:csb0="0004001F" w:csb1="00000000"/>
    <w:embedRegular r:id="rId5" w:fontKey="{B6FD119D-0499-4E8D-9F43-92EB0E0CBA0E}"/>
  </w:font>
  <w:font w:name="仿宋_GB2312">
    <w:panose1 w:val="02010609030101010101"/>
    <w:charset w:val="86"/>
    <w:family w:val="auto"/>
    <w:pitch w:val="default"/>
    <w:sig w:usb0="00000001" w:usb1="080E0000" w:usb2="00000000" w:usb3="00000000" w:csb0="00040000" w:csb1="00000000"/>
    <w:embedRegular r:id="rId6" w:fontKey="{B881EEDC-A5B6-44B5-A0A4-A22DFD385C2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D332E"/>
    <w:rsid w:val="00253ED9"/>
    <w:rsid w:val="007748B1"/>
    <w:rsid w:val="02A0095B"/>
    <w:rsid w:val="07A55F2E"/>
    <w:rsid w:val="0AAD332E"/>
    <w:rsid w:val="0DCB3D0E"/>
    <w:rsid w:val="0E0B2F46"/>
    <w:rsid w:val="0E4472E6"/>
    <w:rsid w:val="0F69606D"/>
    <w:rsid w:val="0FCD49C0"/>
    <w:rsid w:val="10E85D69"/>
    <w:rsid w:val="125E66E4"/>
    <w:rsid w:val="15661FF4"/>
    <w:rsid w:val="16216226"/>
    <w:rsid w:val="169006CF"/>
    <w:rsid w:val="17A86947"/>
    <w:rsid w:val="18BA663E"/>
    <w:rsid w:val="190B7EA2"/>
    <w:rsid w:val="1CFE2D71"/>
    <w:rsid w:val="1EB35504"/>
    <w:rsid w:val="235A6A54"/>
    <w:rsid w:val="250B089A"/>
    <w:rsid w:val="2D787B86"/>
    <w:rsid w:val="32342B66"/>
    <w:rsid w:val="36A87EB1"/>
    <w:rsid w:val="372D1FC1"/>
    <w:rsid w:val="37A44362"/>
    <w:rsid w:val="394D44EC"/>
    <w:rsid w:val="3B460CEF"/>
    <w:rsid w:val="3BD26C85"/>
    <w:rsid w:val="3C1A101E"/>
    <w:rsid w:val="3C2725F2"/>
    <w:rsid w:val="42A33D78"/>
    <w:rsid w:val="42AC6E2E"/>
    <w:rsid w:val="473276AB"/>
    <w:rsid w:val="48EF1DE1"/>
    <w:rsid w:val="4DAD60FD"/>
    <w:rsid w:val="4FBA7907"/>
    <w:rsid w:val="51B94BBD"/>
    <w:rsid w:val="560C44C3"/>
    <w:rsid w:val="58450B5E"/>
    <w:rsid w:val="5B320537"/>
    <w:rsid w:val="5B4418A1"/>
    <w:rsid w:val="5ED06822"/>
    <w:rsid w:val="603245E0"/>
    <w:rsid w:val="61BC3CA7"/>
    <w:rsid w:val="61F47A31"/>
    <w:rsid w:val="67A23DD7"/>
    <w:rsid w:val="692F5A6B"/>
    <w:rsid w:val="6B4F5BCB"/>
    <w:rsid w:val="6E3F4508"/>
    <w:rsid w:val="70DA60AB"/>
    <w:rsid w:val="73517F54"/>
    <w:rsid w:val="75405815"/>
    <w:rsid w:val="774478F3"/>
    <w:rsid w:val="77644DC7"/>
    <w:rsid w:val="782477EC"/>
    <w:rsid w:val="79EF6E7B"/>
    <w:rsid w:val="7AEE5BEA"/>
    <w:rsid w:val="7E9B5353"/>
    <w:rsid w:val="7F454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cs="仿宋" w:asciiTheme="minorHAnsi" w:hAnsiTheme="minorHAnsi"/>
      <w:kern w:val="2"/>
      <w:sz w:val="24"/>
      <w:szCs w:val="28"/>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pPr>
      <w:autoSpaceDE w:val="0"/>
      <w:autoSpaceDN w:val="0"/>
      <w:jc w:val="left"/>
    </w:pPr>
    <w:rPr>
      <w:rFonts w:ascii="宋体" w:hAnsi="宋体" w:cs="宋体"/>
      <w:kern w:val="0"/>
      <w:sz w:val="28"/>
      <w:szCs w:val="28"/>
      <w:lang w:eastAsia="en-US"/>
    </w:rPr>
  </w:style>
  <w:style w:type="paragraph" w:styleId="3">
    <w:name w:val="footer"/>
    <w:basedOn w:val="1"/>
    <w:qFormat/>
    <w:uiPriority w:val="99"/>
    <w:pPr>
      <w:tabs>
        <w:tab w:val="center" w:pos="4153"/>
        <w:tab w:val="right" w:pos="8306"/>
      </w:tabs>
      <w:snapToGrid w:val="0"/>
      <w:jc w:val="left"/>
    </w:pPr>
    <w:rPr>
      <w:sz w:val="18"/>
      <w:szCs w:val="18"/>
    </w:rPr>
  </w:style>
  <w:style w:type="character" w:customStyle="1" w:styleId="6">
    <w:name w:val="font51"/>
    <w:basedOn w:val="5"/>
    <w:qFormat/>
    <w:uiPriority w:val="0"/>
    <w:rPr>
      <w:rFonts w:hint="eastAsia" w:ascii="仿宋" w:hAnsi="仿宋" w:eastAsia="仿宋" w:cs="仿宋"/>
      <w:color w:val="333333"/>
      <w:sz w:val="24"/>
      <w:szCs w:val="24"/>
      <w:u w:val="none"/>
    </w:rPr>
  </w:style>
  <w:style w:type="character" w:customStyle="1" w:styleId="7">
    <w:name w:val="font21"/>
    <w:basedOn w:val="5"/>
    <w:qFormat/>
    <w:uiPriority w:val="0"/>
    <w:rPr>
      <w:rFonts w:hint="eastAsia" w:ascii="仿宋" w:hAnsi="仿宋" w:eastAsia="仿宋" w:cs="仿宋"/>
      <w:color w:val="404040"/>
      <w:sz w:val="24"/>
      <w:szCs w:val="24"/>
      <w:u w:val="none"/>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9987</Words>
  <Characters>10298</Characters>
  <Lines>1</Lines>
  <Paragraphs>1</Paragraphs>
  <TotalTime>2</TotalTime>
  <ScaleCrop>false</ScaleCrop>
  <LinksUpToDate>false</LinksUpToDate>
  <CharactersWithSpaces>10566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2025-09-05T07:23:00Z</dcterms:created>
  <dc:creator>Sophie</dc:creator>
  <cp:lastModifiedBy>shine</cp:lastModifiedBy>
  <dcterms:modified xsi:type="dcterms:W3CDTF">2025-10-16T07:04:26Z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5004D4DBD1C14572B9E91896BEB5ADAD_13</vt:lpwstr>
  </property>
  <property fmtid="{D5CDD505-2E9C-101B-9397-08002B2CF9AE}" pid="4" name="KSOTemplateDocerSaveRecord">
    <vt:lpwstr>eyJoZGlkIjoiYmIwM2YxYmM4NWZhZWNiZGI0OGUxOGUwNjNhOWQ0MDgiLCJ1c2VySWQiOiIzMjI1NDYwNzIifQ==</vt:lpwstr>
  </property>
</Properties>
</file>