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E76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53"/>
          <w:szCs w:val="53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3AB00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宋体" w:hAnsi="宋体" w:eastAsia="宋体" w:cs="Times New Roman"/>
          <w:b/>
          <w:kern w:val="0"/>
          <w:szCs w:val="21"/>
        </w:rPr>
      </w:pPr>
      <w:r>
        <w:rPr>
          <w:rFonts w:hint="eastAsia" w:ascii="黑体" w:hAnsi="黑体" w:eastAsia="黑体" w:cs="Times New Roman"/>
          <w:b w:val="0"/>
          <w:bCs/>
          <w:kern w:val="0"/>
          <w:sz w:val="36"/>
          <w:szCs w:val="36"/>
        </w:rPr>
        <w:t>《****》</w:t>
      </w:r>
      <w:r>
        <w:rPr>
          <w:rFonts w:hint="eastAsia" w:ascii="黑体" w:hAnsi="黑体" w:eastAsia="黑体" w:cs="Times New Roman"/>
          <w:b w:val="0"/>
          <w:bCs/>
          <w:kern w:val="0"/>
          <w:sz w:val="36"/>
          <w:szCs w:val="36"/>
          <w:lang w:val="en-US" w:eastAsia="zh-CN"/>
        </w:rPr>
        <w:t>课程</w:t>
      </w:r>
      <w:r>
        <w:rPr>
          <w:rFonts w:hint="eastAsia" w:ascii="黑体" w:hAnsi="黑体" w:eastAsia="黑体" w:cs="Times New Roman"/>
          <w:b w:val="0"/>
          <w:bCs/>
          <w:kern w:val="0"/>
          <w:sz w:val="36"/>
          <w:szCs w:val="36"/>
        </w:rPr>
        <w:t>教学大纲</w:t>
      </w:r>
    </w:p>
    <w:p w14:paraId="4CEB22D8">
      <w:pPr>
        <w:keepNext w:val="0"/>
        <w:keepLines w:val="0"/>
        <w:widowControl/>
        <w:suppressLineNumbers w:val="0"/>
        <w:jc w:val="left"/>
        <w:rPr>
          <w:rFonts w:eastAsia="宋体"/>
        </w:rPr>
      </w:pPr>
    </w:p>
    <w:p w14:paraId="7B56C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textAlignment w:val="auto"/>
        <w:rPr>
          <w:rFonts w:eastAsia="宋体"/>
          <w:bCs/>
          <w:color w:val="auto"/>
          <w:szCs w:val="21"/>
        </w:rPr>
      </w:pPr>
      <w:r>
        <w:rPr>
          <w:rFonts w:hint="eastAsia" w:ascii="Times New Roman" w:hAnsi="Times New Roman" w:eastAsia="黑体"/>
          <w:color w:val="auto"/>
          <w:sz w:val="24"/>
          <w:szCs w:val="24"/>
        </w:rPr>
        <w:t>一、课程</w:t>
      </w:r>
      <w:r>
        <w:rPr>
          <w:rFonts w:hint="eastAsia" w:eastAsia="黑体"/>
          <w:color w:val="auto"/>
          <w:sz w:val="24"/>
          <w:szCs w:val="24"/>
          <w:lang w:val="en-US" w:eastAsia="zh-CN"/>
        </w:rPr>
        <w:t>基本信息</w:t>
      </w:r>
    </w:p>
    <w:tbl>
      <w:tblPr>
        <w:tblStyle w:val="3"/>
        <w:tblW w:w="8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3071"/>
        <w:gridCol w:w="1575"/>
        <w:gridCol w:w="2721"/>
      </w:tblGrid>
      <w:tr w14:paraId="7900F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302" w:type="dxa"/>
            <w:noWrap w:val="0"/>
            <w:vAlign w:val="center"/>
          </w:tcPr>
          <w:p w14:paraId="18A65448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课程名称</w:t>
            </w:r>
          </w:p>
        </w:tc>
        <w:tc>
          <w:tcPr>
            <w:tcW w:w="3071" w:type="dxa"/>
            <w:noWrap w:val="0"/>
            <w:vAlign w:val="center"/>
          </w:tcPr>
          <w:p w14:paraId="7C5861ED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35CEB5B4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课程代码</w:t>
            </w:r>
          </w:p>
        </w:tc>
        <w:tc>
          <w:tcPr>
            <w:tcW w:w="2721" w:type="dxa"/>
            <w:noWrap w:val="0"/>
            <w:vAlign w:val="center"/>
          </w:tcPr>
          <w:p w14:paraId="21B8BD87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</w:tr>
      <w:tr w14:paraId="46429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78EC7BDB">
            <w:pPr>
              <w:spacing w:line="360" w:lineRule="auto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课程</w:t>
            </w: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类别</w:t>
            </w:r>
          </w:p>
        </w:tc>
        <w:tc>
          <w:tcPr>
            <w:tcW w:w="3071" w:type="dxa"/>
            <w:noWrap w:val="0"/>
            <w:vAlign w:val="center"/>
          </w:tcPr>
          <w:p w14:paraId="3EE19FCF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9F59DEE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适用专业</w:t>
            </w:r>
          </w:p>
        </w:tc>
        <w:tc>
          <w:tcPr>
            <w:tcW w:w="2721" w:type="dxa"/>
            <w:noWrap w:val="0"/>
            <w:vAlign w:val="center"/>
          </w:tcPr>
          <w:p w14:paraId="648262E4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 w:val="0"/>
                <w:bCs/>
                <w:i w:val="0"/>
                <w:iCs w:val="0"/>
                <w:color w:val="auto"/>
                <w:sz w:val="18"/>
                <w:szCs w:val="18"/>
                <w:lang w:val="en-US" w:eastAsia="zh-CN"/>
              </w:rPr>
              <w:t>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专业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全称）</w:t>
            </w:r>
          </w:p>
        </w:tc>
      </w:tr>
      <w:tr w14:paraId="563C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189FB670">
            <w:pPr>
              <w:spacing w:line="360" w:lineRule="auto"/>
              <w:jc w:val="center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计划学时</w:t>
            </w:r>
          </w:p>
        </w:tc>
        <w:tc>
          <w:tcPr>
            <w:tcW w:w="3071" w:type="dxa"/>
            <w:noWrap w:val="0"/>
            <w:vAlign w:val="center"/>
          </w:tcPr>
          <w:p w14:paraId="606FD77D">
            <w:pPr>
              <w:spacing w:line="360" w:lineRule="auto"/>
              <w:jc w:val="center"/>
              <w:rPr>
                <w:rFonts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  <w:t>学时（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其中</w:t>
            </w:r>
            <w:r>
              <w:rPr>
                <w:rFonts w:hint="eastAsia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含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实验/上机**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</w:rPr>
              <w:t>学时）</w:t>
            </w:r>
          </w:p>
        </w:tc>
        <w:tc>
          <w:tcPr>
            <w:tcW w:w="1575" w:type="dxa"/>
            <w:noWrap w:val="0"/>
            <w:vAlign w:val="center"/>
          </w:tcPr>
          <w:p w14:paraId="16C42EC5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课外学时建议</w:t>
            </w:r>
          </w:p>
        </w:tc>
        <w:tc>
          <w:tcPr>
            <w:tcW w:w="2721" w:type="dxa"/>
            <w:noWrap w:val="0"/>
            <w:vAlign w:val="center"/>
          </w:tcPr>
          <w:p w14:paraId="2D9FAC89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</w:p>
        </w:tc>
      </w:tr>
      <w:tr w14:paraId="20B7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09AC7F9C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学    分</w:t>
            </w:r>
          </w:p>
        </w:tc>
        <w:tc>
          <w:tcPr>
            <w:tcW w:w="3071" w:type="dxa"/>
            <w:noWrap w:val="0"/>
            <w:vAlign w:val="center"/>
          </w:tcPr>
          <w:p w14:paraId="0FBDAA08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75" w:type="dxa"/>
            <w:noWrap w:val="0"/>
            <w:vAlign w:val="center"/>
          </w:tcPr>
          <w:p w14:paraId="12C361E9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开课学期</w:t>
            </w:r>
          </w:p>
        </w:tc>
        <w:tc>
          <w:tcPr>
            <w:tcW w:w="2721" w:type="dxa"/>
            <w:noWrap w:val="0"/>
            <w:vAlign w:val="center"/>
          </w:tcPr>
          <w:p w14:paraId="0B5F5A7B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1-8</w:t>
            </w:r>
          </w:p>
        </w:tc>
      </w:tr>
      <w:tr w14:paraId="6DE5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008F0E1D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前导课程</w:t>
            </w:r>
          </w:p>
        </w:tc>
        <w:tc>
          <w:tcPr>
            <w:tcW w:w="7367" w:type="dxa"/>
            <w:gridSpan w:val="3"/>
            <w:noWrap w:val="0"/>
            <w:vAlign w:val="top"/>
          </w:tcPr>
          <w:p w14:paraId="5F657A5D">
            <w:pPr>
              <w:spacing w:line="360" w:lineRule="auto"/>
              <w:jc w:val="left"/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</w:t>
            </w:r>
          </w:p>
        </w:tc>
      </w:tr>
      <w:tr w14:paraId="3A23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70B5E5FE">
            <w:pPr>
              <w:spacing w:line="360" w:lineRule="auto"/>
              <w:jc w:val="center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</w:rPr>
              <w:t>后续课程</w:t>
            </w:r>
          </w:p>
        </w:tc>
        <w:tc>
          <w:tcPr>
            <w:tcW w:w="7367" w:type="dxa"/>
            <w:gridSpan w:val="3"/>
            <w:noWrap w:val="0"/>
            <w:vAlign w:val="top"/>
          </w:tcPr>
          <w:p w14:paraId="0359CB58">
            <w:pPr>
              <w:spacing w:line="360" w:lineRule="auto"/>
              <w:jc w:val="left"/>
              <w:rPr>
                <w:rFonts w:ascii="Times New Roman" w:hAnsi="Times New Roman" w:eastAsia="宋体"/>
                <w:b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》《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  <w:t>》</w:t>
            </w:r>
          </w:p>
        </w:tc>
      </w:tr>
      <w:tr w14:paraId="48E7C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noWrap w:val="0"/>
            <w:vAlign w:val="top"/>
          </w:tcPr>
          <w:p w14:paraId="5CF16FA7">
            <w:pPr>
              <w:spacing w:line="360" w:lineRule="auto"/>
              <w:jc w:val="center"/>
              <w:rPr>
                <w:rFonts w:hint="default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color w:val="auto"/>
                <w:sz w:val="18"/>
                <w:szCs w:val="18"/>
                <w:lang w:val="en-US" w:eastAsia="zh-CN"/>
              </w:rPr>
              <w:t>开课单位</w:t>
            </w:r>
          </w:p>
        </w:tc>
        <w:tc>
          <w:tcPr>
            <w:tcW w:w="7367" w:type="dxa"/>
            <w:gridSpan w:val="3"/>
            <w:noWrap w:val="0"/>
            <w:vAlign w:val="top"/>
          </w:tcPr>
          <w:p w14:paraId="2E58659A">
            <w:pPr>
              <w:spacing w:line="360" w:lineRule="auto"/>
              <w:jc w:val="left"/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18"/>
                <w:szCs w:val="18"/>
                <w:lang w:val="en-US" w:eastAsia="zh-CN"/>
              </w:rPr>
              <w:t>******学院/部（单位全称）</w:t>
            </w:r>
          </w:p>
        </w:tc>
      </w:tr>
    </w:tbl>
    <w:p w14:paraId="08E351AF">
      <w:pPr>
        <w:adjustRightInd w:val="0"/>
        <w:snapToGrid w:val="0"/>
        <w:rPr>
          <w:rFonts w:hint="eastAsia" w:ascii="黑体" w:eastAsia="黑体"/>
          <w:color w:val="auto"/>
          <w:sz w:val="24"/>
        </w:rPr>
      </w:pPr>
    </w:p>
    <w:p w14:paraId="2AEA2B10">
      <w:pPr>
        <w:spacing w:line="360" w:lineRule="auto"/>
        <w:ind w:firstLine="480" w:firstLineChars="200"/>
        <w:rPr>
          <w:rFonts w:ascii="宋体" w:hAnsi="宋体" w:eastAsia="宋体"/>
          <w:i/>
          <w:color w:val="auto"/>
          <w:sz w:val="24"/>
          <w:highlight w:val="yellow"/>
        </w:rPr>
      </w:pPr>
      <w:r>
        <w:rPr>
          <w:rFonts w:hint="eastAsia" w:ascii="黑体" w:eastAsia="黑体"/>
          <w:color w:val="auto"/>
          <w:sz w:val="24"/>
        </w:rPr>
        <w:t>二、课程简介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【综合性概述课程性质，开设目的和意义，在人才培养过程中的地位、作用以及课程基本内容等，字数300字左右】</w:t>
      </w:r>
    </w:p>
    <w:p w14:paraId="3A1ADC7C">
      <w:pPr>
        <w:spacing w:line="400" w:lineRule="exact"/>
        <w:ind w:firstLine="420" w:firstLineChars="200"/>
        <w:rPr>
          <w:rFonts w:ascii="黑体" w:eastAsia="黑体"/>
          <w:i/>
          <w:iCs/>
          <w:color w:val="000000"/>
          <w:sz w:val="24"/>
        </w:rPr>
      </w:pPr>
      <w:r>
        <w:rPr>
          <w:rFonts w:hint="eastAsia" w:eastAsia="宋体"/>
          <w:i/>
          <w:iCs/>
          <w:color w:val="000000"/>
          <w:szCs w:val="21"/>
        </w:rPr>
        <w:t>示例：</w:t>
      </w:r>
    </w:p>
    <w:p w14:paraId="49F60CE2">
      <w:pPr>
        <w:spacing w:line="400" w:lineRule="exact"/>
        <w:ind w:firstLine="422" w:firstLineChars="200"/>
        <w:rPr>
          <w:rFonts w:eastAsia="宋体"/>
          <w:color w:val="000000"/>
          <w:kern w:val="0"/>
          <w:szCs w:val="21"/>
        </w:rPr>
      </w:pPr>
      <w:r>
        <w:rPr>
          <w:rFonts w:hint="eastAsia" w:eastAsia="宋体"/>
          <w:b/>
          <w:bCs/>
          <w:color w:val="000000"/>
          <w:kern w:val="0"/>
          <w:szCs w:val="21"/>
          <w:lang w:eastAsia="zh-CN"/>
        </w:rPr>
        <w:t>《</w:t>
      </w:r>
      <w:r>
        <w:rPr>
          <w:rFonts w:hint="eastAsia" w:eastAsia="宋体"/>
          <w:b/>
          <w:bCs/>
          <w:color w:val="000000"/>
          <w:kern w:val="0"/>
          <w:szCs w:val="21"/>
          <w:lang w:val="en-US" w:eastAsia="zh-CN"/>
        </w:rPr>
        <w:t>****</w:t>
      </w:r>
      <w:r>
        <w:rPr>
          <w:rFonts w:hint="eastAsia" w:eastAsia="宋体"/>
          <w:b/>
          <w:bCs/>
          <w:color w:val="000000"/>
          <w:kern w:val="0"/>
          <w:szCs w:val="21"/>
          <w:lang w:eastAsia="zh-CN"/>
        </w:rPr>
        <w:t>》</w:t>
      </w:r>
      <w:r>
        <w:rPr>
          <w:rFonts w:hint="eastAsia" w:eastAsia="宋体"/>
          <w:b/>
          <w:bCs/>
          <w:color w:val="000000"/>
          <w:kern w:val="0"/>
          <w:szCs w:val="21"/>
        </w:rPr>
        <w:t>是</w:t>
      </w:r>
      <w:r>
        <w:rPr>
          <w:rFonts w:hint="eastAsia" w:eastAsia="宋体"/>
          <w:color w:val="auto"/>
          <w:kern w:val="0"/>
          <w:szCs w:val="21"/>
          <w:lang w:val="en-US" w:eastAsia="zh-CN"/>
        </w:rPr>
        <w:t>****</w:t>
      </w:r>
      <w:r>
        <w:rPr>
          <w:rFonts w:hint="eastAsia" w:eastAsia="宋体"/>
          <w:b/>
          <w:bCs/>
          <w:color w:val="auto"/>
          <w:kern w:val="0"/>
          <w:szCs w:val="21"/>
        </w:rPr>
        <w:t>专业的一门</w:t>
      </w:r>
      <w:r>
        <w:rPr>
          <w:rFonts w:hint="eastAsia" w:eastAsia="宋体"/>
          <w:b w:val="0"/>
          <w:bCs w:val="0"/>
          <w:color w:val="auto"/>
          <w:kern w:val="0"/>
          <w:szCs w:val="21"/>
        </w:rPr>
        <w:t>重要</w:t>
      </w:r>
      <w:r>
        <w:rPr>
          <w:rFonts w:hint="eastAsia" w:eastAsia="宋体"/>
          <w:b/>
          <w:bCs/>
          <w:color w:val="auto"/>
          <w:kern w:val="0"/>
          <w:szCs w:val="21"/>
        </w:rPr>
        <w:t>的</w:t>
      </w:r>
      <w:r>
        <w:rPr>
          <w:rFonts w:hint="eastAsia" w:eastAsia="宋体"/>
          <w:b/>
          <w:bCs/>
          <w:color w:val="auto"/>
          <w:kern w:val="0"/>
          <w:szCs w:val="21"/>
          <w:lang w:val="en-US" w:eastAsia="zh-CN"/>
        </w:rPr>
        <w:t>***</w:t>
      </w:r>
      <w:r>
        <w:rPr>
          <w:rFonts w:hint="eastAsia" w:eastAsia="宋体"/>
          <w:b/>
          <w:bCs/>
          <w:color w:val="auto"/>
          <w:kern w:val="0"/>
          <w:szCs w:val="21"/>
        </w:rPr>
        <w:t>课</w:t>
      </w:r>
      <w:r>
        <w:rPr>
          <w:rFonts w:hint="eastAsia" w:eastAsia="宋体"/>
          <w:color w:val="000000"/>
          <w:kern w:val="0"/>
          <w:szCs w:val="21"/>
        </w:rPr>
        <w:t>，课程理论与实践并重，应用范围广，尤其在当前大数据与人工智能时代下，</w:t>
      </w:r>
      <w:r>
        <w:rPr>
          <w:rFonts w:hint="eastAsia" w:eastAsia="宋体"/>
          <w:color w:val="000000"/>
          <w:kern w:val="0"/>
          <w:szCs w:val="21"/>
          <w:lang w:eastAsia="zh-CN"/>
        </w:rPr>
        <w:t>《</w:t>
      </w:r>
      <w:r>
        <w:rPr>
          <w:rFonts w:hint="eastAsia" w:eastAsia="宋体"/>
          <w:color w:val="000000"/>
          <w:kern w:val="0"/>
          <w:szCs w:val="21"/>
          <w:lang w:val="en-US" w:eastAsia="zh-CN"/>
        </w:rPr>
        <w:t>****</w:t>
      </w:r>
      <w:r>
        <w:rPr>
          <w:rFonts w:hint="eastAsia" w:eastAsia="宋体"/>
          <w:color w:val="000000"/>
          <w:kern w:val="0"/>
          <w:szCs w:val="21"/>
          <w:lang w:eastAsia="zh-CN"/>
        </w:rPr>
        <w:t>》</w:t>
      </w:r>
      <w:r>
        <w:rPr>
          <w:rFonts w:hint="eastAsia" w:eastAsia="宋体"/>
          <w:color w:val="000000"/>
          <w:kern w:val="0"/>
          <w:szCs w:val="21"/>
        </w:rPr>
        <w:t>在计算机科学领域中的重要性更是凸显。</w:t>
      </w:r>
      <w:r>
        <w:rPr>
          <w:rFonts w:hint="eastAsia" w:eastAsia="宋体"/>
          <w:b/>
          <w:bCs/>
          <w:color w:val="000000"/>
          <w:kern w:val="0"/>
          <w:szCs w:val="21"/>
        </w:rPr>
        <w:t>课程系统介绍</w:t>
      </w:r>
      <w:r>
        <w:rPr>
          <w:rFonts w:hint="eastAsia" w:eastAsia="宋体"/>
          <w:color w:val="000000"/>
          <w:kern w:val="0"/>
          <w:szCs w:val="21"/>
        </w:rPr>
        <w:t>算法效率分析基础以及常用的算法设计思想与方法，</w:t>
      </w:r>
      <w:r>
        <w:rPr>
          <w:rFonts w:hint="eastAsia" w:eastAsia="宋体"/>
          <w:b/>
          <w:bCs/>
          <w:color w:val="000000"/>
          <w:kern w:val="0"/>
          <w:szCs w:val="21"/>
        </w:rPr>
        <w:t>包括</w:t>
      </w:r>
      <w:r>
        <w:rPr>
          <w:rFonts w:eastAsia="宋体"/>
          <w:color w:val="000000"/>
          <w:kern w:val="0"/>
          <w:szCs w:val="21"/>
        </w:rPr>
        <w:t>分治</w:t>
      </w:r>
      <w:r>
        <w:rPr>
          <w:rFonts w:hint="eastAsia" w:eastAsia="宋体"/>
          <w:color w:val="000000"/>
          <w:kern w:val="0"/>
          <w:szCs w:val="21"/>
        </w:rPr>
        <w:t>法</w:t>
      </w:r>
      <w:r>
        <w:rPr>
          <w:rFonts w:eastAsia="宋体"/>
          <w:color w:val="000000"/>
          <w:kern w:val="0"/>
          <w:szCs w:val="21"/>
        </w:rPr>
        <w:t>、动态规划</w:t>
      </w:r>
      <w:r>
        <w:rPr>
          <w:rFonts w:hint="eastAsia" w:eastAsia="宋体"/>
          <w:color w:val="000000"/>
          <w:kern w:val="0"/>
          <w:szCs w:val="21"/>
        </w:rPr>
        <w:t>法</w:t>
      </w:r>
      <w:r>
        <w:rPr>
          <w:rFonts w:eastAsia="宋体"/>
          <w:color w:val="000000"/>
          <w:kern w:val="0"/>
          <w:szCs w:val="21"/>
        </w:rPr>
        <w:t>、贪心</w:t>
      </w:r>
      <w:r>
        <w:rPr>
          <w:rFonts w:hint="eastAsia" w:eastAsia="宋体"/>
          <w:color w:val="000000"/>
          <w:kern w:val="0"/>
          <w:szCs w:val="21"/>
        </w:rPr>
        <w:t>法</w:t>
      </w:r>
      <w:r>
        <w:rPr>
          <w:rFonts w:eastAsia="宋体"/>
          <w:color w:val="000000"/>
          <w:kern w:val="0"/>
          <w:szCs w:val="21"/>
        </w:rPr>
        <w:t>、回溯</w:t>
      </w:r>
      <w:r>
        <w:rPr>
          <w:rFonts w:hint="eastAsia" w:eastAsia="宋体"/>
          <w:color w:val="000000"/>
          <w:kern w:val="0"/>
          <w:szCs w:val="21"/>
        </w:rPr>
        <w:t>法、分支</w:t>
      </w:r>
      <w:r>
        <w:rPr>
          <w:rFonts w:eastAsia="宋体"/>
          <w:color w:val="000000"/>
          <w:kern w:val="0"/>
          <w:szCs w:val="21"/>
        </w:rPr>
        <w:t>限界</w:t>
      </w:r>
      <w:r>
        <w:rPr>
          <w:rFonts w:hint="eastAsia" w:eastAsia="宋体"/>
          <w:color w:val="000000"/>
          <w:kern w:val="0"/>
          <w:szCs w:val="21"/>
        </w:rPr>
        <w:t>法、随机化和遗传算法等，</w:t>
      </w:r>
      <w:r>
        <w:rPr>
          <w:rFonts w:hint="eastAsia" w:eastAsia="宋体"/>
          <w:b/>
          <w:bCs/>
          <w:color w:val="000000"/>
          <w:kern w:val="0"/>
          <w:szCs w:val="21"/>
        </w:rPr>
        <w:t>并</w:t>
      </w:r>
      <w:r>
        <w:rPr>
          <w:rFonts w:hint="eastAsia" w:eastAsia="宋体"/>
          <w:color w:val="000000"/>
          <w:kern w:val="0"/>
          <w:szCs w:val="21"/>
        </w:rPr>
        <w:t>结合实际案例加深算法思想理解和设计方法的探讨</w:t>
      </w:r>
      <w:r>
        <w:rPr>
          <w:rFonts w:eastAsia="宋体"/>
          <w:color w:val="000000"/>
          <w:kern w:val="0"/>
          <w:szCs w:val="21"/>
        </w:rPr>
        <w:t>。</w:t>
      </w:r>
      <w:r>
        <w:rPr>
          <w:rFonts w:eastAsia="宋体"/>
          <w:b/>
          <w:bCs/>
          <w:color w:val="000000"/>
          <w:kern w:val="0"/>
          <w:szCs w:val="21"/>
        </w:rPr>
        <w:t>通过本课程的学习，使学生</w:t>
      </w:r>
      <w:r>
        <w:rPr>
          <w:rFonts w:eastAsia="宋体"/>
          <w:color w:val="000000"/>
          <w:kern w:val="0"/>
          <w:szCs w:val="21"/>
        </w:rPr>
        <w:t>熟练掌握</w:t>
      </w:r>
      <w:r>
        <w:rPr>
          <w:rFonts w:hint="eastAsia" w:eastAsia="宋体"/>
          <w:color w:val="000000"/>
          <w:kern w:val="0"/>
          <w:szCs w:val="21"/>
        </w:rPr>
        <w:t>算法复杂性分析基本方法，</w:t>
      </w:r>
      <w:r>
        <w:rPr>
          <w:rFonts w:eastAsia="宋体"/>
          <w:color w:val="000000"/>
          <w:kern w:val="0"/>
          <w:szCs w:val="21"/>
        </w:rPr>
        <w:t>算法设计的基本理论、方法和技术，训练计算</w:t>
      </w:r>
      <w:r>
        <w:rPr>
          <w:rFonts w:hint="eastAsia" w:eastAsia="宋体"/>
          <w:color w:val="000000"/>
          <w:kern w:val="0"/>
          <w:szCs w:val="21"/>
        </w:rPr>
        <w:t>和逻辑</w:t>
      </w:r>
      <w:r>
        <w:rPr>
          <w:rFonts w:eastAsia="宋体"/>
          <w:color w:val="000000"/>
          <w:kern w:val="0"/>
          <w:szCs w:val="21"/>
        </w:rPr>
        <w:t>思维，锻炼学生分析问题和解决问题的能力，</w:t>
      </w:r>
      <w:r>
        <w:rPr>
          <w:rFonts w:eastAsia="宋体"/>
          <w:b/>
          <w:bCs/>
          <w:color w:val="000000"/>
          <w:kern w:val="0"/>
          <w:szCs w:val="21"/>
        </w:rPr>
        <w:t>为</w:t>
      </w:r>
      <w:r>
        <w:rPr>
          <w:rFonts w:eastAsia="宋体"/>
          <w:color w:val="000000"/>
          <w:kern w:val="0"/>
          <w:szCs w:val="21"/>
        </w:rPr>
        <w:t>开发高效的</w:t>
      </w:r>
      <w:r>
        <w:rPr>
          <w:rFonts w:hint="eastAsia" w:eastAsia="宋体"/>
          <w:color w:val="000000"/>
          <w:kern w:val="0"/>
          <w:szCs w:val="21"/>
        </w:rPr>
        <w:t>计算</w:t>
      </w:r>
      <w:r>
        <w:rPr>
          <w:rFonts w:eastAsia="宋体"/>
          <w:color w:val="000000"/>
          <w:kern w:val="0"/>
          <w:szCs w:val="21"/>
        </w:rPr>
        <w:t>系统及相关领域的研究工作</w:t>
      </w:r>
      <w:r>
        <w:rPr>
          <w:rFonts w:eastAsia="宋体"/>
          <w:b/>
          <w:bCs/>
          <w:color w:val="000000"/>
          <w:kern w:val="0"/>
          <w:szCs w:val="21"/>
        </w:rPr>
        <w:t>奠定坚实的基础</w:t>
      </w:r>
      <w:r>
        <w:rPr>
          <w:rFonts w:eastAsia="宋体"/>
          <w:color w:val="000000"/>
          <w:kern w:val="0"/>
          <w:szCs w:val="21"/>
        </w:rPr>
        <w:t>。</w:t>
      </w:r>
    </w:p>
    <w:p w14:paraId="648C71BC">
      <w:pPr>
        <w:spacing w:line="360" w:lineRule="auto"/>
        <w:ind w:firstLine="480" w:firstLineChars="200"/>
        <w:rPr>
          <w:rFonts w:hint="eastAsia" w:ascii="黑体" w:hAnsi="Times New Roman" w:eastAsia="黑体" w:cs="Times New Roman"/>
          <w:color w:val="auto"/>
          <w:sz w:val="24"/>
        </w:rPr>
      </w:pPr>
    </w:p>
    <w:p w14:paraId="51430CAF">
      <w:pPr>
        <w:spacing w:line="360" w:lineRule="auto"/>
        <w:ind w:firstLine="480" w:firstLineChars="200"/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</w:pPr>
      <w:r>
        <w:rPr>
          <w:rFonts w:hint="eastAsia" w:ascii="黑体" w:hAnsi="Times New Roman" w:eastAsia="黑体" w:cs="Times New Roman"/>
          <w:color w:val="auto"/>
          <w:sz w:val="24"/>
        </w:rPr>
        <w:t>三、课程目标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 xml:space="preserve"> 【课程目标应</w:t>
      </w:r>
      <w:r>
        <w:rPr>
          <w:rFonts w:hint="eastAsia" w:eastAsia="宋体" w:cs="Times New Roman"/>
          <w:bCs/>
          <w:color w:val="auto"/>
          <w:szCs w:val="21"/>
          <w:lang w:val="en-US" w:eastAsia="zh-CN"/>
        </w:rPr>
        <w:t>从课程思政、知识、能力、素养几方面展开，要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充分考虑对毕业要求的支撑，需覆盖但不局限于毕业要求对应的观测点。课程目标的内涵表述应体现学生的学习成果，要使用具体的、有强烈动作意味的</w:t>
      </w:r>
      <w:r>
        <w:rPr>
          <w:rFonts w:hint="eastAsia" w:eastAsia="宋体" w:cs="Times New Roman"/>
          <w:bCs/>
          <w:color w:val="auto"/>
          <w:szCs w:val="21"/>
          <w:lang w:val="en-US" w:eastAsia="zh-CN"/>
        </w:rPr>
        <w:t>布鲁姆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动词（如分析、设计、建模等）分条准确表述学生通过课程学习所获得的能力而非教学要求，要力求清晰、明确、可评价；课程目标不宜过多，尽量控制在5个以内</w:t>
      </w:r>
      <w:r>
        <w:rPr>
          <w:rFonts w:hint="eastAsia" w:eastAsia="宋体" w:cs="Times New Roman"/>
          <w:bCs/>
          <w:color w:val="auto"/>
          <w:szCs w:val="21"/>
          <w:lang w:val="en-US" w:eastAsia="zh-CN"/>
        </w:rPr>
        <w:t>，课程目标1统一为课程思政目标（思政类课程除外），需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覆盖该课程支撑的专业思政指标点</w:t>
      </w:r>
      <w:r>
        <w:rPr>
          <w:rFonts w:hint="eastAsia" w:ascii="Times New Roman" w:hAnsi="Times New Roman" w:eastAsia="宋体" w:cs="Times New Roman"/>
          <w:bCs/>
          <w:color w:val="auto"/>
          <w:szCs w:val="21"/>
          <w:lang w:val="en-US" w:eastAsia="zh-CN"/>
        </w:rPr>
        <w:t>】</w:t>
      </w:r>
    </w:p>
    <w:p w14:paraId="1392F49F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auto"/>
          <w:kern w:val="0"/>
          <w:szCs w:val="21"/>
        </w:rPr>
      </w:pP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（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课程思政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目标）：……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eastAsia="zh-CN"/>
        </w:rPr>
        <w:t>。</w:t>
      </w:r>
    </w:p>
    <w:p w14:paraId="230B1684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auto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2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</w:rPr>
        <w:t>：……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eastAsia="zh-CN"/>
        </w:rPr>
        <w:t>。</w:t>
      </w:r>
    </w:p>
    <w:p w14:paraId="5C2D255E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val="en-US" w:eastAsia="zh-CN"/>
        </w:rPr>
        <w:t>3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：……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  <w:t>。</w:t>
      </w:r>
    </w:p>
    <w:p w14:paraId="407D11D6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课程目标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val="en-US" w:eastAsia="zh-CN"/>
        </w:rPr>
        <w:t>4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：……</w:t>
      </w:r>
      <w:r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  <w:t>。</w:t>
      </w:r>
    </w:p>
    <w:p w14:paraId="6A64891F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eastAsia="宋体" w:cs="宋体"/>
          <w:b w:val="0"/>
          <w:bCs/>
          <w:color w:val="000000"/>
          <w:kern w:val="0"/>
          <w:szCs w:val="21"/>
          <w:lang w:eastAsia="zh-CN"/>
        </w:rPr>
      </w:pPr>
      <w:r>
        <w:rPr>
          <w:rFonts w:hint="eastAsia" w:ascii="宋体" w:eastAsia="宋体" w:cs="宋体"/>
          <w:b w:val="0"/>
          <w:bCs/>
          <w:color w:val="000000"/>
          <w:kern w:val="0"/>
          <w:szCs w:val="21"/>
        </w:rPr>
        <w:t>……</w:t>
      </w:r>
    </w:p>
    <w:p w14:paraId="04B8F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黑体" w:hAnsi="Times New Roman" w:eastAsia="黑体" w:cs="Times New Roman"/>
          <w:color w:val="auto"/>
          <w:sz w:val="24"/>
          <w:lang w:val="en-US" w:eastAsia="zh-CN"/>
        </w:rPr>
      </w:pPr>
    </w:p>
    <w:p w14:paraId="1612E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480" w:firstLineChars="200"/>
        <w:jc w:val="both"/>
        <w:textAlignment w:val="auto"/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</w:pP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四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、课程思政</w:t>
      </w: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元素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与实现途径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课程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思政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元素至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少写3条，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需有效支撑课程思政目标，思政类课程无需填写此表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】</w:t>
      </w:r>
    </w:p>
    <w:tbl>
      <w:tblPr>
        <w:tblStyle w:val="3"/>
        <w:tblpPr w:leftFromText="180" w:rightFromText="180" w:vertAnchor="text" w:horzAnchor="page" w:tblpXSpec="center" w:tblpY="215"/>
        <w:tblOverlap w:val="never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61"/>
        <w:gridCol w:w="4455"/>
        <w:gridCol w:w="1526"/>
        <w:gridCol w:w="1811"/>
      </w:tblGrid>
      <w:tr w14:paraId="19A60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1" w:hRule="atLeast"/>
          <w:tblHeader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23AECAD3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序号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4CAAD19F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课程思政元素</w:t>
            </w: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2D2B8220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napToGrid w:val="0"/>
                <w:kern w:val="0"/>
                <w:sz w:val="18"/>
                <w:szCs w:val="18"/>
                <w:lang w:val="en-US" w:eastAsia="zh-CN"/>
              </w:rPr>
              <w:t>融入点</w:t>
            </w: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0136A3ED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实现途径</w:t>
            </w:r>
          </w:p>
        </w:tc>
      </w:tr>
      <w:tr w14:paraId="3A04F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4E76BD2C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34C3E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算法的时间和空间复杂度，一个“好”算法，大局意识，统筹兼顾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02D3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算法概念和时间复杂度</w:t>
            </w: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503D7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案例教学、情景教学、翻转课</w:t>
            </w:r>
            <w:r>
              <w:rPr>
                <w:rFonts w:hint="eastAsia" w:ascii="宋体" w:hAnsi="宋体" w:eastAsia="宋体" w:cs="Times New Roman"/>
                <w:sz w:val="18"/>
                <w:szCs w:val="18"/>
                <w:lang w:val="en-US" w:eastAsia="zh-CN"/>
              </w:rPr>
              <w:t>堂</w:t>
            </w:r>
          </w:p>
        </w:tc>
      </w:tr>
      <w:tr w14:paraId="39E1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04D48DBE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53267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通过举例分析，让同学们了解不同的大规模问题，当规模足够小时，都可以轻松解决，让学生明白分治法的适用之处。例如，对1000W个数字排序很困难，但对2个数字进行排序却可以轻而易举解决。</w:t>
            </w: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3FAC07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分治法</w:t>
            </w: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093DD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社会真实事件教学、情景教学</w:t>
            </w:r>
          </w:p>
        </w:tc>
      </w:tr>
      <w:tr w14:paraId="63AED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2B7924B3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3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2BD74C03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12839068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48363235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</w:tr>
      <w:tr w14:paraId="5E75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6A238AF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3283E272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148E5B61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48FEEFA5">
            <w:pPr>
              <w:jc w:val="left"/>
              <w:rPr>
                <w:rFonts w:hint="eastAsia" w:ascii="宋体" w:hAnsi="宋体" w:eastAsia="宋体" w:cs="Times New Roman"/>
                <w:sz w:val="18"/>
                <w:szCs w:val="18"/>
              </w:rPr>
            </w:pPr>
          </w:p>
        </w:tc>
      </w:tr>
      <w:tr w14:paraId="2B28D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661" w:type="dxa"/>
            <w:noWrap w:val="0"/>
            <w:tcMar>
              <w:top w:w="57" w:type="dxa"/>
              <w:bottom w:w="57" w:type="dxa"/>
            </w:tcMar>
            <w:vAlign w:val="center"/>
          </w:tcPr>
          <w:p w14:paraId="61B769B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</w:t>
            </w:r>
          </w:p>
        </w:tc>
        <w:tc>
          <w:tcPr>
            <w:tcW w:w="4455" w:type="dxa"/>
            <w:noWrap w:val="0"/>
            <w:tcMar>
              <w:top w:w="57" w:type="dxa"/>
              <w:bottom w:w="57" w:type="dxa"/>
            </w:tcMar>
            <w:vAlign w:val="center"/>
          </w:tcPr>
          <w:p w14:paraId="671FD1F5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526" w:type="dxa"/>
            <w:noWrap w:val="0"/>
            <w:tcMar>
              <w:top w:w="57" w:type="dxa"/>
              <w:bottom w:w="57" w:type="dxa"/>
            </w:tcMar>
            <w:vAlign w:val="center"/>
          </w:tcPr>
          <w:p w14:paraId="51024F8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811" w:type="dxa"/>
            <w:noWrap w:val="0"/>
            <w:tcMar>
              <w:top w:w="57" w:type="dxa"/>
              <w:bottom w:w="57" w:type="dxa"/>
            </w:tcMar>
            <w:vAlign w:val="center"/>
          </w:tcPr>
          <w:p w14:paraId="321A3E14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</w:tr>
    </w:tbl>
    <w:p w14:paraId="2BC74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120" w:line="224" w:lineRule="auto"/>
        <w:ind w:left="0" w:firstLine="480" w:firstLineChars="200"/>
        <w:jc w:val="both"/>
        <w:textAlignment w:val="auto"/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</w:p>
    <w:p w14:paraId="6FAEC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0" w:after="120" w:line="224" w:lineRule="auto"/>
        <w:ind w:left="0" w:firstLine="480" w:firstLineChars="200"/>
        <w:jc w:val="both"/>
        <w:textAlignment w:val="auto"/>
        <w:rPr>
          <w:rFonts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五</w:t>
      </w:r>
      <w:r>
        <w:rPr>
          <w:rFonts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、课程教学重点</w:t>
      </w:r>
      <w:r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与</w:t>
      </w:r>
      <w:r>
        <w:rPr>
          <w:rFonts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难点</w:t>
      </w:r>
    </w:p>
    <w:p w14:paraId="58AAFBCF">
      <w:pPr>
        <w:autoSpaceDE w:val="0"/>
        <w:autoSpaceDN w:val="0"/>
        <w:adjustRightInd w:val="0"/>
        <w:spacing w:line="360" w:lineRule="auto"/>
        <w:ind w:firstLine="422" w:firstLineChars="200"/>
        <w:jc w:val="left"/>
        <w:rPr>
          <w:rFonts w:hint="eastAsia" w:ascii="宋体" w:hAnsi="Times New Roman" w:eastAsia="宋体" w:cs="宋体"/>
          <w:b/>
          <w:bCs w:val="0"/>
          <w:color w:val="000000"/>
          <w:kern w:val="0"/>
          <w:szCs w:val="21"/>
        </w:rPr>
      </w:pPr>
      <w:r>
        <w:rPr>
          <w:rFonts w:hint="eastAsia" w:ascii="宋体" w:hAnsi="Times New Roman" w:eastAsia="宋体" w:cs="宋体"/>
          <w:b/>
          <w:bCs w:val="0"/>
          <w:color w:val="000000"/>
          <w:kern w:val="0"/>
          <w:szCs w:val="21"/>
        </w:rPr>
        <w:t>（一）教学重点</w:t>
      </w:r>
    </w:p>
    <w:p w14:paraId="7832E68B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</w:pP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  <w:t>……。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【如内容需分条，按1. 2. 3.……依次列出】</w:t>
      </w:r>
    </w:p>
    <w:p w14:paraId="56C72575">
      <w:pPr>
        <w:autoSpaceDE w:val="0"/>
        <w:autoSpaceDN w:val="0"/>
        <w:adjustRightInd w:val="0"/>
        <w:spacing w:line="360" w:lineRule="auto"/>
        <w:ind w:firstLine="422" w:firstLineChars="200"/>
        <w:jc w:val="left"/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</w:pP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（二）教学难点</w:t>
      </w:r>
    </w:p>
    <w:p w14:paraId="787E9B77">
      <w:pPr>
        <w:autoSpaceDE w:val="0"/>
        <w:autoSpaceDN w:val="0"/>
        <w:adjustRightInd w:val="0"/>
        <w:spacing w:line="360" w:lineRule="auto"/>
        <w:ind w:firstLine="420" w:firstLineChars="200"/>
        <w:jc w:val="left"/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</w:pP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</w:rPr>
        <w:t>……。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【如内容需分条，按1. 2. 3.……依次列出】</w:t>
      </w:r>
    </w:p>
    <w:p w14:paraId="41505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eastAsia="宋体"/>
          <w:b/>
          <w:color w:val="auto"/>
        </w:rPr>
      </w:pP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六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、教学内容与成果目标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教学内容应按学生应掌握的内容编写，不要局限于教材，不能简单写成教材的目录；学生学习预期成果应根据课程目标确定学生应达到的知识、能力和情感价值的提升；对于混合式课程应同时注明教学内容实施为线上或线下；教学方法包括讲授、讨论或座谈、案例法、问题导向学习（PBL）、分组合作学习、专题学习等；表格内容如需分条，按1. 2. 3.……依次列出】</w:t>
      </w:r>
    </w:p>
    <w:tbl>
      <w:tblPr>
        <w:tblStyle w:val="3"/>
        <w:tblpPr w:leftFromText="180" w:rightFromText="180" w:vertAnchor="text" w:horzAnchor="page" w:tblpXSpec="center" w:tblpY="495"/>
        <w:tblOverlap w:val="never"/>
        <w:tblW w:w="8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7"/>
        <w:gridCol w:w="2055"/>
        <w:gridCol w:w="2830"/>
        <w:gridCol w:w="600"/>
        <w:gridCol w:w="540"/>
        <w:gridCol w:w="800"/>
        <w:gridCol w:w="1050"/>
      </w:tblGrid>
      <w:tr w14:paraId="0357D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37" w:hRule="atLeast"/>
          <w:tblHeader/>
          <w:jc w:val="center"/>
        </w:trPr>
        <w:tc>
          <w:tcPr>
            <w:tcW w:w="577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D0753C5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序号</w:t>
            </w:r>
          </w:p>
        </w:tc>
        <w:tc>
          <w:tcPr>
            <w:tcW w:w="2055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3313F20B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教学内容</w:t>
            </w:r>
          </w:p>
        </w:tc>
        <w:tc>
          <w:tcPr>
            <w:tcW w:w="283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489CA4E3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学生学习预期成果</w:t>
            </w:r>
          </w:p>
        </w:tc>
        <w:tc>
          <w:tcPr>
            <w:tcW w:w="1140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 w14:paraId="0D6A3DCE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学时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分配</w:t>
            </w:r>
          </w:p>
        </w:tc>
        <w:tc>
          <w:tcPr>
            <w:tcW w:w="80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3A040C3E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教学</w:t>
            </w:r>
          </w:p>
          <w:p w14:paraId="23B3F16C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方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法</w:t>
            </w:r>
          </w:p>
        </w:tc>
        <w:tc>
          <w:tcPr>
            <w:tcW w:w="105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49ECF09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对应</w:t>
            </w:r>
          </w:p>
          <w:p w14:paraId="2268BA6D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课程目标</w:t>
            </w:r>
          </w:p>
        </w:tc>
      </w:tr>
      <w:tr w14:paraId="0C4EB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07" w:hRule="atLeast"/>
          <w:tblHeader/>
          <w:jc w:val="center"/>
        </w:trPr>
        <w:tc>
          <w:tcPr>
            <w:tcW w:w="577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565D8ECA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05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0D6D22E6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83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5C1E773C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4142B41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课内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168FF9A2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课外</w:t>
            </w:r>
          </w:p>
        </w:tc>
        <w:tc>
          <w:tcPr>
            <w:tcW w:w="80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4598C42C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3EB9C3B7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 w14:paraId="3CA8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5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74160562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2D3D998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45303564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</w:rPr>
              <w:t>学生在学完本节内容后应获得的知识、能力或素养水平</w:t>
            </w: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i/>
                <w:iCs/>
                <w:sz w:val="18"/>
                <w:szCs w:val="18"/>
              </w:rPr>
              <w:t>可以用掌握、认知、理解、应用、分析、综合、判断等描述预期成果达到的程度。</w:t>
            </w: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1D34D11E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3F69277C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1190255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讲授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6B00182E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目标1</w:t>
            </w:r>
          </w:p>
        </w:tc>
      </w:tr>
      <w:tr w14:paraId="469F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15981F6F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3C2EC87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5B380295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20F35CCD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66A44D9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36DD217E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案例法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536FA820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</w:p>
        </w:tc>
      </w:tr>
      <w:tr w14:paraId="3CB93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449AC78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3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66F060B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1558715B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283CAD2C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1A0AA20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3AA047C6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讲授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40097873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3</w:t>
            </w:r>
          </w:p>
        </w:tc>
      </w:tr>
      <w:tr w14:paraId="18A4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509D3A5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09A431AE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3324792B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1AEBCDD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25E999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09FC78B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演示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58A797B7">
            <w:pPr>
              <w:jc w:val="center"/>
              <w:rPr>
                <w:rFonts w:hint="default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3</w:t>
            </w:r>
          </w:p>
        </w:tc>
      </w:tr>
      <w:tr w14:paraId="5E4D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3EBF3F6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1C78CA2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3322A633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6D8103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F59FFE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4AE49D32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31F1681F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……</w:t>
            </w:r>
          </w:p>
        </w:tc>
      </w:tr>
      <w:tr w14:paraId="55130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462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 w14:paraId="3FD2DB97">
            <w:pPr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合 </w:t>
            </w: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>计</w:t>
            </w: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72F529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331B10E6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467A30E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62A735D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</w:tr>
    </w:tbl>
    <w:p w14:paraId="140BDD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 w:firstLine="480" w:firstLineChars="200"/>
        <w:jc w:val="both"/>
        <w:textAlignment w:val="auto"/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</w:p>
    <w:p w14:paraId="4D000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Chars="0" w:firstLine="480" w:firstLineChars="200"/>
        <w:jc w:val="both"/>
        <w:textAlignment w:val="auto"/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七、实践内容与成果目标</w:t>
      </w:r>
      <w:r>
        <w:rPr>
          <w:rFonts w:hint="eastAsia" w:ascii="Times New Roman" w:hAnsi="Times New Roman" w:eastAsia="宋体" w:cs="Times New Roman"/>
          <w:b w:val="0"/>
          <w:bCs/>
          <w:color w:val="auto"/>
          <w:kern w:val="2"/>
          <w:sz w:val="21"/>
          <w:szCs w:val="21"/>
          <w:lang w:val="en-US" w:eastAsia="zh-CN" w:bidi="ar-SA"/>
        </w:rPr>
        <w:t>【含课内实践的课程填写，类型包括演示性、验证性、综合性、设计性、创新性、其他等】</w:t>
      </w:r>
    </w:p>
    <w:tbl>
      <w:tblPr>
        <w:tblStyle w:val="3"/>
        <w:tblpPr w:leftFromText="180" w:rightFromText="180" w:vertAnchor="text" w:horzAnchor="page" w:tblpXSpec="center" w:tblpY="495"/>
        <w:tblOverlap w:val="never"/>
        <w:tblW w:w="84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7"/>
        <w:gridCol w:w="2055"/>
        <w:gridCol w:w="2830"/>
        <w:gridCol w:w="600"/>
        <w:gridCol w:w="540"/>
        <w:gridCol w:w="800"/>
        <w:gridCol w:w="1050"/>
      </w:tblGrid>
      <w:tr w14:paraId="2BEF7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4" w:hRule="atLeast"/>
          <w:tblHeader/>
          <w:jc w:val="center"/>
        </w:trPr>
        <w:tc>
          <w:tcPr>
            <w:tcW w:w="577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0885F77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序号</w:t>
            </w:r>
          </w:p>
        </w:tc>
        <w:tc>
          <w:tcPr>
            <w:tcW w:w="2055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251C2447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实践项目名称</w:t>
            </w:r>
          </w:p>
        </w:tc>
        <w:tc>
          <w:tcPr>
            <w:tcW w:w="283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9755F2D">
            <w:pPr>
              <w:snapToGrid w:val="0"/>
              <w:jc w:val="center"/>
              <w:rPr>
                <w:rFonts w:hint="default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实践内容与预期成果</w:t>
            </w:r>
          </w:p>
        </w:tc>
        <w:tc>
          <w:tcPr>
            <w:tcW w:w="1140" w:type="dxa"/>
            <w:gridSpan w:val="2"/>
            <w:noWrap w:val="0"/>
            <w:tcMar>
              <w:top w:w="57" w:type="dxa"/>
              <w:bottom w:w="57" w:type="dxa"/>
            </w:tcMar>
            <w:vAlign w:val="center"/>
          </w:tcPr>
          <w:p w14:paraId="74DD6E85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学时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分配</w:t>
            </w:r>
          </w:p>
        </w:tc>
        <w:tc>
          <w:tcPr>
            <w:tcW w:w="80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3EAAA662">
            <w:pPr>
              <w:snapToGrid w:val="0"/>
              <w:jc w:val="center"/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  <w:lang w:val="en-US" w:eastAsia="zh-CN"/>
              </w:rPr>
              <w:t>类型</w:t>
            </w:r>
          </w:p>
        </w:tc>
        <w:tc>
          <w:tcPr>
            <w:tcW w:w="1050" w:type="dxa"/>
            <w:vMerge w:val="restart"/>
            <w:noWrap w:val="0"/>
            <w:tcMar>
              <w:top w:w="57" w:type="dxa"/>
              <w:bottom w:w="57" w:type="dxa"/>
            </w:tcMar>
            <w:vAlign w:val="center"/>
          </w:tcPr>
          <w:p w14:paraId="66D0B25F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对应</w:t>
            </w:r>
          </w:p>
          <w:p w14:paraId="1D202D81">
            <w:pPr>
              <w:snapToGrid w:val="0"/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>课程目标</w:t>
            </w:r>
          </w:p>
        </w:tc>
      </w:tr>
      <w:tr w14:paraId="47616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24" w:hRule="atLeast"/>
          <w:tblHeader/>
          <w:jc w:val="center"/>
        </w:trPr>
        <w:tc>
          <w:tcPr>
            <w:tcW w:w="577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14708464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055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56906C5D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283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37CC9258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7C49FD24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课内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4E19AA43">
            <w:pPr>
              <w:snapToGrid w:val="0"/>
              <w:jc w:val="center"/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sz w:val="18"/>
                <w:szCs w:val="18"/>
                <w:highlight w:val="none"/>
                <w:lang w:val="en-US" w:eastAsia="zh-CN"/>
              </w:rPr>
              <w:t>课外</w:t>
            </w:r>
          </w:p>
        </w:tc>
        <w:tc>
          <w:tcPr>
            <w:tcW w:w="80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7A396F41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  <w:tc>
          <w:tcPr>
            <w:tcW w:w="1050" w:type="dxa"/>
            <w:vMerge w:val="continue"/>
            <w:noWrap w:val="0"/>
            <w:tcMar>
              <w:top w:w="57" w:type="dxa"/>
              <w:bottom w:w="57" w:type="dxa"/>
            </w:tcMar>
            <w:vAlign w:val="center"/>
          </w:tcPr>
          <w:p w14:paraId="2848BE40">
            <w:pPr>
              <w:snapToGrid w:val="0"/>
              <w:jc w:val="center"/>
              <w:rPr>
                <w:rFonts w:eastAsia="宋体"/>
                <w:sz w:val="18"/>
                <w:szCs w:val="18"/>
              </w:rPr>
            </w:pPr>
          </w:p>
        </w:tc>
      </w:tr>
      <w:tr w14:paraId="73075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3CA6FFEC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1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3DD1BEE6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49D4B9BA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7D86292F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6483DE8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72EC9EEC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演示性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1EBF3EE9">
            <w:pPr>
              <w:jc w:val="center"/>
              <w:rPr>
                <w:rFonts w:ascii="宋体" w:hAnsi="宋体" w:eastAsia="宋体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目标1</w:t>
            </w:r>
          </w:p>
        </w:tc>
      </w:tr>
      <w:tr w14:paraId="1B5D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43106521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2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2DA89FFD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0C6B5C2C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1FA2B2C2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25996E12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568044F4">
            <w:pPr>
              <w:jc w:val="center"/>
              <w:rPr>
                <w:rFonts w:hint="default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  <w:t>验证性</w:t>
            </w: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06C3C593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</w:p>
        </w:tc>
      </w:tr>
      <w:tr w14:paraId="39E3B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3E7FE36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3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3E63870E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0722CEAB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4AC3F1E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07A3B85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2B72768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46858522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3</w:t>
            </w:r>
          </w:p>
        </w:tc>
      </w:tr>
      <w:tr w14:paraId="780A8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2F73FEB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4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255F274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351F0451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3C600CE0">
            <w:pPr>
              <w:jc w:val="center"/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304D638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6DAFE93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63F3F475">
            <w:pPr>
              <w:jc w:val="center"/>
              <w:rPr>
                <w:rFonts w:hint="default" w:ascii="宋体" w:hAnsi="宋体" w:eastAsia="宋体"/>
                <w:snapToGrid w:val="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sz w:val="18"/>
                <w:szCs w:val="18"/>
              </w:rPr>
              <w:t>目标</w:t>
            </w:r>
            <w:r>
              <w:rPr>
                <w:rFonts w:ascii="宋体" w:hAnsi="宋体" w:eastAsia="宋体"/>
                <w:sz w:val="18"/>
                <w:szCs w:val="18"/>
              </w:rPr>
              <w:t>2</w:t>
            </w:r>
            <w:r>
              <w:rPr>
                <w:rFonts w:hint="eastAsia" w:ascii="宋体" w:hAnsi="宋体" w:eastAsia="宋体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  <w:t>3</w:t>
            </w:r>
          </w:p>
        </w:tc>
      </w:tr>
      <w:tr w14:paraId="78DA3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77" w:type="dxa"/>
            <w:noWrap w:val="0"/>
            <w:tcMar>
              <w:top w:w="57" w:type="dxa"/>
              <w:bottom w:w="57" w:type="dxa"/>
            </w:tcMar>
            <w:vAlign w:val="center"/>
          </w:tcPr>
          <w:p w14:paraId="4F758ED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</w:t>
            </w:r>
          </w:p>
        </w:tc>
        <w:tc>
          <w:tcPr>
            <w:tcW w:w="2055" w:type="dxa"/>
            <w:noWrap w:val="0"/>
            <w:tcMar>
              <w:top w:w="57" w:type="dxa"/>
              <w:bottom w:w="57" w:type="dxa"/>
            </w:tcMar>
            <w:vAlign w:val="center"/>
          </w:tcPr>
          <w:p w14:paraId="5E9A14D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*</w:t>
            </w:r>
            <w: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  <w:t>****</w:t>
            </w:r>
          </w:p>
        </w:tc>
        <w:tc>
          <w:tcPr>
            <w:tcW w:w="2830" w:type="dxa"/>
            <w:noWrap w:val="0"/>
            <w:tcMar>
              <w:top w:w="57" w:type="dxa"/>
              <w:bottom w:w="57" w:type="dxa"/>
            </w:tcMar>
            <w:vAlign w:val="center"/>
          </w:tcPr>
          <w:p w14:paraId="2593B728">
            <w:pPr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64BAF6C8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6F89B95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165986EA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tcMar>
              <w:top w:w="57" w:type="dxa"/>
              <w:bottom w:w="57" w:type="dxa"/>
            </w:tcMar>
            <w:vAlign w:val="center"/>
          </w:tcPr>
          <w:p w14:paraId="3BAE2D97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snapToGrid w:val="0"/>
                <w:kern w:val="0"/>
                <w:sz w:val="18"/>
                <w:szCs w:val="18"/>
              </w:rPr>
              <w:t>……</w:t>
            </w:r>
          </w:p>
        </w:tc>
      </w:tr>
      <w:tr w14:paraId="33196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5462" w:type="dxa"/>
            <w:gridSpan w:val="3"/>
            <w:noWrap w:val="0"/>
            <w:tcMar>
              <w:top w:w="57" w:type="dxa"/>
              <w:bottom w:w="57" w:type="dxa"/>
            </w:tcMar>
            <w:vAlign w:val="center"/>
          </w:tcPr>
          <w:p w14:paraId="77D78773">
            <w:pPr>
              <w:jc w:val="center"/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合 </w:t>
            </w:r>
            <w:r>
              <w:rPr>
                <w:rFonts w:ascii="宋体" w:hAnsi="宋体" w:eastAsia="宋体"/>
                <w:b/>
                <w:snapToGrid w:val="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/>
                <w:b/>
                <w:snapToGrid w:val="0"/>
                <w:kern w:val="0"/>
                <w:sz w:val="18"/>
                <w:szCs w:val="18"/>
              </w:rPr>
              <w:t>计</w:t>
            </w:r>
          </w:p>
        </w:tc>
        <w:tc>
          <w:tcPr>
            <w:tcW w:w="600" w:type="dxa"/>
            <w:noWrap w:val="0"/>
            <w:tcMar>
              <w:top w:w="57" w:type="dxa"/>
              <w:bottom w:w="57" w:type="dxa"/>
            </w:tcMar>
            <w:vAlign w:val="center"/>
          </w:tcPr>
          <w:p w14:paraId="522CC695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noWrap w:val="0"/>
            <w:tcMar>
              <w:top w:w="57" w:type="dxa"/>
              <w:bottom w:w="57" w:type="dxa"/>
            </w:tcMar>
            <w:vAlign w:val="center"/>
          </w:tcPr>
          <w:p w14:paraId="6C4BA174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800" w:type="dxa"/>
            <w:noWrap w:val="0"/>
            <w:tcMar>
              <w:top w:w="57" w:type="dxa"/>
              <w:bottom w:w="57" w:type="dxa"/>
            </w:tcMar>
            <w:vAlign w:val="center"/>
          </w:tcPr>
          <w:p w14:paraId="55CA48A4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D559CD9">
            <w:pPr>
              <w:jc w:val="center"/>
              <w:rPr>
                <w:rFonts w:ascii="宋体" w:hAnsi="宋体" w:eastAsia="宋体"/>
                <w:snapToGrid w:val="0"/>
                <w:kern w:val="0"/>
                <w:sz w:val="18"/>
                <w:szCs w:val="18"/>
              </w:rPr>
            </w:pPr>
          </w:p>
        </w:tc>
      </w:tr>
    </w:tbl>
    <w:p w14:paraId="3DE095D6">
      <w:pPr>
        <w:adjustRightInd w:val="0"/>
        <w:snapToGrid w:val="0"/>
        <w:rPr>
          <w:rFonts w:hint="eastAsia" w:ascii="黑体" w:eastAsia="黑体"/>
          <w:color w:val="0000FF"/>
          <w:sz w:val="18"/>
          <w:szCs w:val="18"/>
          <w:lang w:val="en-US" w:eastAsia="zh-CN"/>
        </w:rPr>
      </w:pPr>
    </w:p>
    <w:p w14:paraId="2C666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textAlignment w:val="auto"/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黑体" w:eastAsia="黑体" w:cs="Times New Roman"/>
          <w:color w:val="000000"/>
          <w:kern w:val="2"/>
          <w:sz w:val="24"/>
          <w:szCs w:val="24"/>
          <w:lang w:val="en-US" w:eastAsia="zh-CN" w:bidi="ar-SA"/>
        </w:rPr>
        <w:t>八</w:t>
      </w:r>
      <w:r>
        <w:rPr>
          <w:rFonts w:hint="eastAsia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  <w:t>、课程考核评价</w:t>
      </w:r>
    </w:p>
    <w:p w14:paraId="20DC26FB">
      <w:pPr>
        <w:spacing w:line="360" w:lineRule="auto"/>
        <w:ind w:firstLine="422" w:firstLineChars="200"/>
        <w:jc w:val="left"/>
        <w:rPr>
          <w:rFonts w:ascii="宋体" w:hAnsi="宋体" w:eastAsia="宋体"/>
          <w:color w:val="auto"/>
          <w:sz w:val="21"/>
          <w:szCs w:val="21"/>
        </w:rPr>
      </w:pP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（一）</w:t>
      </w:r>
      <w:r>
        <w:rPr>
          <w:rFonts w:hint="eastAsia" w:ascii="宋体" w:hAnsi="宋体" w:eastAsia="宋体"/>
          <w:b/>
          <w:bCs w:val="0"/>
          <w:color w:val="auto"/>
          <w:sz w:val="21"/>
          <w:szCs w:val="21"/>
        </w:rPr>
        <w:t>考核类型：</w:t>
      </w:r>
      <w:r>
        <w:rPr>
          <w:rFonts w:hint="eastAsia" w:ascii="宋体" w:hAnsi="宋体" w:eastAsia="宋体"/>
          <w:color w:val="auto"/>
          <w:sz w:val="21"/>
          <w:szCs w:val="21"/>
        </w:rPr>
        <w:sym w:font="Wingdings" w:char="00A8"/>
      </w:r>
      <w:r>
        <w:rPr>
          <w:rFonts w:hint="eastAsia" w:ascii="宋体" w:hAnsi="宋体" w:eastAsia="宋体"/>
          <w:color w:val="auto"/>
          <w:sz w:val="21"/>
          <w:szCs w:val="21"/>
        </w:rPr>
        <w:t xml:space="preserve">考试    </w:t>
      </w:r>
      <w:r>
        <w:rPr>
          <w:rFonts w:hint="eastAsia" w:ascii="宋体" w:hAnsi="宋体" w:eastAsia="宋体"/>
          <w:color w:val="auto"/>
          <w:sz w:val="21"/>
          <w:szCs w:val="21"/>
        </w:rPr>
        <w:sym w:font="Wingdings" w:char="F0A8"/>
      </w:r>
      <w:r>
        <w:rPr>
          <w:rFonts w:hint="eastAsia" w:ascii="宋体" w:hAnsi="宋体" w:eastAsia="宋体"/>
          <w:color w:val="auto"/>
          <w:sz w:val="21"/>
          <w:szCs w:val="21"/>
        </w:rPr>
        <w:t>考查</w:t>
      </w:r>
    </w:p>
    <w:p w14:paraId="5673F8B2">
      <w:pPr>
        <w:spacing w:line="360" w:lineRule="auto"/>
        <w:ind w:firstLine="422" w:firstLineChars="200"/>
        <w:jc w:val="left"/>
        <w:rPr>
          <w:rFonts w:hint="default" w:ascii="Times New Roman" w:hAnsi="Times New Roman" w:eastAsia="黑体" w:cs="Times New Roman"/>
          <w:color w:val="auto"/>
          <w:sz w:val="24"/>
          <w:highlight w:val="yellow"/>
          <w:lang w:val="en-US" w:eastAsia="zh-CN"/>
        </w:rPr>
      </w:pP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（</w:t>
      </w:r>
      <w:r>
        <w:rPr>
          <w:rFonts w:hint="eastAsia" w:ascii="宋体" w:eastAsia="宋体" w:cs="宋体"/>
          <w:b/>
          <w:bCs w:val="0"/>
          <w:color w:val="auto"/>
          <w:kern w:val="0"/>
          <w:szCs w:val="21"/>
          <w:lang w:val="en-US" w:eastAsia="zh-CN"/>
        </w:rPr>
        <w:t>二</w:t>
      </w:r>
      <w:r>
        <w:rPr>
          <w:rFonts w:hint="eastAsia" w:ascii="宋体" w:hAnsi="Times New Roman" w:eastAsia="宋体" w:cs="宋体"/>
          <w:b/>
          <w:bCs w:val="0"/>
          <w:color w:val="auto"/>
          <w:kern w:val="0"/>
          <w:szCs w:val="21"/>
        </w:rPr>
        <w:t>）</w:t>
      </w:r>
      <w:r>
        <w:rPr>
          <w:rFonts w:hint="eastAsia" w:ascii="宋体" w:hAnsi="宋体" w:eastAsia="宋体"/>
          <w:b/>
          <w:bCs w:val="0"/>
          <w:color w:val="auto"/>
          <w:sz w:val="21"/>
          <w:szCs w:val="21"/>
        </w:rPr>
        <w:t>成绩评定：</w:t>
      </w: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  <w:lang w:val="en-US" w:eastAsia="zh-CN"/>
        </w:rPr>
        <w:t>本课程采用过程性评价与终结性评价相结合的评价方法，课程总评成绩使用百分制评定，其中终结性</w:t>
      </w:r>
      <w:r>
        <w:rPr>
          <w:rFonts w:hint="eastAsia" w:ascii="宋体" w:eastAsia="宋体" w:cs="宋体"/>
          <w:b w:val="0"/>
          <w:bCs/>
          <w:color w:val="auto"/>
          <w:kern w:val="0"/>
          <w:szCs w:val="21"/>
          <w:lang w:val="en-US" w:eastAsia="zh-CN"/>
        </w:rPr>
        <w:t>评价</w:t>
      </w: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  <w:lang w:val="en-US" w:eastAsia="zh-CN"/>
        </w:rPr>
        <w:t>方式为****（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期末</w:t>
      </w:r>
      <w:r>
        <w:rPr>
          <w:rFonts w:hint="eastAsia" w:ascii="宋体" w:hAnsi="宋体" w:eastAsia="宋体"/>
          <w:color w:val="auto"/>
          <w:sz w:val="21"/>
          <w:szCs w:val="21"/>
        </w:rPr>
        <w:t>考试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/>
          <w:color w:val="auto"/>
          <w:sz w:val="21"/>
          <w:szCs w:val="21"/>
        </w:rPr>
        <w:t>课程论文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/</w:t>
      </w:r>
      <w:r>
        <w:rPr>
          <w:rFonts w:hint="eastAsia" w:ascii="宋体" w:hAnsi="宋体" w:eastAsia="宋体"/>
          <w:color w:val="auto"/>
          <w:sz w:val="21"/>
          <w:szCs w:val="21"/>
        </w:rPr>
        <w:t>课程</w:t>
      </w:r>
      <w:r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  <w:t>报告等</w:t>
      </w:r>
      <w:r>
        <w:rPr>
          <w:rFonts w:hint="eastAsia" w:ascii="宋体" w:hAnsi="Times New Roman" w:eastAsia="宋体" w:cs="宋体"/>
          <w:b w:val="0"/>
          <w:bCs/>
          <w:color w:val="auto"/>
          <w:kern w:val="0"/>
          <w:szCs w:val="21"/>
          <w:lang w:val="en-US" w:eastAsia="zh-CN"/>
        </w:rPr>
        <w:t>）。</w:t>
      </w:r>
    </w:p>
    <w:p w14:paraId="4F0F57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22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auto"/>
          <w:kern w:val="2"/>
          <w:sz w:val="21"/>
          <w:szCs w:val="21"/>
          <w:lang w:val="en-US" w:eastAsia="zh-CN" w:bidi="ar-SA"/>
        </w:rPr>
        <w:t xml:space="preserve">（三）课程目标与考核评价方式对应表 </w:t>
      </w:r>
      <w:r>
        <w:rPr>
          <w:rFonts w:hint="eastAsia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-SA"/>
        </w:rPr>
        <w:t>【考核方式根据实际情况填写，至少4项，</w:t>
      </w:r>
      <w:r>
        <w:rPr>
          <w:rFonts w:hint="eastAsia" w:ascii="Calibri" w:hAnsi="Calibri" w:eastAsia="宋体" w:cs="宋体"/>
          <w:color w:val="auto"/>
          <w:kern w:val="2"/>
          <w:sz w:val="21"/>
          <w:szCs w:val="24"/>
          <w:lang w:val="en-US" w:eastAsia="zh-CN" w:bidi="ar-SA"/>
        </w:rPr>
        <w:t>每个课程目标的考核方式不少于</w:t>
      </w:r>
      <w:r>
        <w:rPr>
          <w:rFonts w:ascii="Calibri" w:hAnsi="Calibri" w:eastAsia="宋体" w:cs="宋体"/>
          <w:color w:val="auto"/>
          <w:kern w:val="2"/>
          <w:sz w:val="21"/>
          <w:szCs w:val="24"/>
          <w:lang w:val="en-US" w:eastAsia="zh-CN" w:bidi="ar-SA"/>
        </w:rPr>
        <w:t>2</w:t>
      </w:r>
      <w:r>
        <w:rPr>
          <w:rFonts w:hint="eastAsia" w:ascii="Calibri" w:hAnsi="Calibri" w:eastAsia="宋体" w:cs="宋体"/>
          <w:color w:val="auto"/>
          <w:kern w:val="2"/>
          <w:sz w:val="21"/>
          <w:szCs w:val="24"/>
          <w:lang w:val="en-US" w:eastAsia="zh-CN" w:bidi="ar-SA"/>
        </w:rPr>
        <w:t>项</w:t>
      </w:r>
      <w:r>
        <w:rPr>
          <w:rFonts w:hint="eastAsia" w:ascii="Times New Roman" w:hAnsi="Times New Roman" w:eastAsia="宋体" w:cs="Times New Roman"/>
          <w:bCs/>
          <w:color w:val="auto"/>
          <w:kern w:val="2"/>
          <w:sz w:val="21"/>
          <w:szCs w:val="21"/>
          <w:lang w:val="en-US" w:eastAsia="zh-CN" w:bidi="ar-SA"/>
        </w:rPr>
        <w:t>】</w:t>
      </w:r>
    </w:p>
    <w:tbl>
      <w:tblPr>
        <w:tblStyle w:val="3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0"/>
        <w:gridCol w:w="1302"/>
        <w:gridCol w:w="1282"/>
        <w:gridCol w:w="1155"/>
        <w:gridCol w:w="1053"/>
        <w:gridCol w:w="887"/>
        <w:gridCol w:w="964"/>
      </w:tblGrid>
      <w:tr w14:paraId="4288C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10" w:type="dxa"/>
            <w:vMerge w:val="restart"/>
            <w:noWrap w:val="0"/>
            <w:vAlign w:val="center"/>
          </w:tcPr>
          <w:p w14:paraId="4DF23624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课程目标</w:t>
            </w:r>
          </w:p>
        </w:tc>
        <w:tc>
          <w:tcPr>
            <w:tcW w:w="1302" w:type="dxa"/>
            <w:vMerge w:val="restart"/>
            <w:noWrap w:val="0"/>
            <w:vAlign w:val="center"/>
          </w:tcPr>
          <w:p w14:paraId="0D0FDBFB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课程目标</w:t>
            </w:r>
          </w:p>
          <w:p w14:paraId="7B163FD0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权重</w:t>
            </w:r>
          </w:p>
        </w:tc>
        <w:tc>
          <w:tcPr>
            <w:tcW w:w="5341" w:type="dxa"/>
            <w:gridSpan w:val="5"/>
            <w:noWrap w:val="0"/>
            <w:vAlign w:val="center"/>
          </w:tcPr>
          <w:p w14:paraId="5EF4F7E6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考核评价方式及成绩比例（%）</w:t>
            </w:r>
          </w:p>
        </w:tc>
      </w:tr>
      <w:tr w14:paraId="0182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vMerge w:val="continue"/>
            <w:noWrap w:val="0"/>
            <w:vAlign w:val="center"/>
          </w:tcPr>
          <w:p w14:paraId="509EFB98">
            <w:pPr>
              <w:snapToGrid w:val="0"/>
              <w:spacing w:line="240" w:lineRule="auto"/>
              <w:jc w:val="center"/>
              <w:rPr>
                <w:rFonts w:eastAsia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302" w:type="dxa"/>
            <w:vMerge w:val="continue"/>
            <w:noWrap w:val="0"/>
            <w:vAlign w:val="center"/>
          </w:tcPr>
          <w:p w14:paraId="2BB91E39">
            <w:pPr>
              <w:snapToGrid w:val="0"/>
              <w:spacing w:line="240" w:lineRule="auto"/>
              <w:jc w:val="center"/>
              <w:rPr>
                <w:rFonts w:eastAsia="宋体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42204B42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作业</w:t>
            </w:r>
          </w:p>
        </w:tc>
        <w:tc>
          <w:tcPr>
            <w:tcW w:w="1155" w:type="dxa"/>
            <w:noWrap w:val="0"/>
            <w:vAlign w:val="center"/>
          </w:tcPr>
          <w:p w14:paraId="32283C6D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实验</w:t>
            </w:r>
          </w:p>
        </w:tc>
        <w:tc>
          <w:tcPr>
            <w:tcW w:w="1053" w:type="dxa"/>
            <w:noWrap w:val="0"/>
            <w:vAlign w:val="center"/>
          </w:tcPr>
          <w:p w14:paraId="0AFC2C8B">
            <w:pPr>
              <w:jc w:val="center"/>
              <w:rPr>
                <w:rFonts w:hint="eastAsia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项目</w:t>
            </w:r>
          </w:p>
          <w:p w14:paraId="54D2539E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研究</w:t>
            </w:r>
          </w:p>
        </w:tc>
        <w:tc>
          <w:tcPr>
            <w:tcW w:w="887" w:type="dxa"/>
            <w:noWrap w:val="0"/>
            <w:vAlign w:val="center"/>
          </w:tcPr>
          <w:p w14:paraId="299953EF">
            <w:pPr>
              <w:jc w:val="center"/>
              <w:rPr>
                <w:rFonts w:hint="eastAsia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阶段</w:t>
            </w:r>
          </w:p>
          <w:p w14:paraId="38C2A3C6">
            <w:pPr>
              <w:jc w:val="center"/>
              <w:rPr>
                <w:rFonts w:hint="default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测试</w:t>
            </w:r>
          </w:p>
        </w:tc>
        <w:tc>
          <w:tcPr>
            <w:tcW w:w="964" w:type="dxa"/>
            <w:noWrap w:val="0"/>
            <w:vAlign w:val="center"/>
          </w:tcPr>
          <w:p w14:paraId="74DFE0F2">
            <w:pPr>
              <w:jc w:val="center"/>
              <w:rPr>
                <w:rFonts w:hint="eastAsia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期末</w:t>
            </w:r>
          </w:p>
          <w:p w14:paraId="258F6A0F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考试</w:t>
            </w:r>
          </w:p>
        </w:tc>
      </w:tr>
      <w:tr w14:paraId="1462F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4377E58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课程目标1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648C5C02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0.2</w:t>
            </w:r>
          </w:p>
        </w:tc>
        <w:tc>
          <w:tcPr>
            <w:tcW w:w="1282" w:type="dxa"/>
            <w:noWrap w:val="0"/>
            <w:vAlign w:val="center"/>
          </w:tcPr>
          <w:p w14:paraId="4D3D0AD7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155" w:type="dxa"/>
            <w:noWrap w:val="0"/>
            <w:vAlign w:val="center"/>
          </w:tcPr>
          <w:p w14:paraId="1087EA6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14A8839F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7" w:type="dxa"/>
            <w:noWrap w:val="0"/>
            <w:vAlign w:val="center"/>
          </w:tcPr>
          <w:p w14:paraId="5C08DCCE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964" w:type="dxa"/>
            <w:noWrap w:val="0"/>
            <w:vAlign w:val="center"/>
          </w:tcPr>
          <w:p w14:paraId="3E0CB800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 w14:paraId="29BD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192D4BCB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课程目标2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7FEBA52D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0.25</w:t>
            </w:r>
          </w:p>
        </w:tc>
        <w:tc>
          <w:tcPr>
            <w:tcW w:w="1282" w:type="dxa"/>
            <w:noWrap w:val="0"/>
            <w:vAlign w:val="center"/>
          </w:tcPr>
          <w:p w14:paraId="36B41CA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274347B4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53" w:type="dxa"/>
            <w:noWrap w:val="0"/>
            <w:vAlign w:val="center"/>
          </w:tcPr>
          <w:p w14:paraId="6BD0D8D8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87" w:type="dxa"/>
            <w:noWrap w:val="0"/>
            <w:vAlign w:val="center"/>
          </w:tcPr>
          <w:p w14:paraId="0286FE33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964" w:type="dxa"/>
            <w:noWrap w:val="0"/>
            <w:vAlign w:val="center"/>
          </w:tcPr>
          <w:p w14:paraId="3052ABAF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</w:tr>
      <w:tr w14:paraId="7603F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2CCCC04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课程目标3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543930BA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0.3</w:t>
            </w:r>
          </w:p>
        </w:tc>
        <w:tc>
          <w:tcPr>
            <w:tcW w:w="1282" w:type="dxa"/>
            <w:noWrap w:val="0"/>
            <w:vAlign w:val="center"/>
          </w:tcPr>
          <w:p w14:paraId="6DC4F101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B4C887D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053" w:type="dxa"/>
            <w:noWrap w:val="0"/>
            <w:vAlign w:val="center"/>
          </w:tcPr>
          <w:p w14:paraId="301B222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887" w:type="dxa"/>
            <w:noWrap w:val="0"/>
            <w:vAlign w:val="center"/>
          </w:tcPr>
          <w:p w14:paraId="23B099F8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noWrap w:val="0"/>
            <w:vAlign w:val="center"/>
          </w:tcPr>
          <w:p w14:paraId="77E70CD7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</w:t>
            </w:r>
          </w:p>
        </w:tc>
      </w:tr>
      <w:tr w14:paraId="38B1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10" w:type="dxa"/>
            <w:noWrap w:val="0"/>
            <w:vAlign w:val="center"/>
          </w:tcPr>
          <w:p w14:paraId="4C20C6AC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课程目标4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58344FC4">
            <w:pPr>
              <w:widowControl/>
              <w:snapToGrid w:val="0"/>
              <w:spacing w:line="276" w:lineRule="auto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0.25</w:t>
            </w:r>
          </w:p>
        </w:tc>
        <w:tc>
          <w:tcPr>
            <w:tcW w:w="1282" w:type="dxa"/>
            <w:noWrap w:val="0"/>
            <w:vAlign w:val="center"/>
          </w:tcPr>
          <w:p w14:paraId="2235DE1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55" w:type="dxa"/>
            <w:noWrap w:val="0"/>
            <w:vAlign w:val="center"/>
          </w:tcPr>
          <w:p w14:paraId="194C0E4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053" w:type="dxa"/>
            <w:noWrap w:val="0"/>
            <w:vAlign w:val="center"/>
          </w:tcPr>
          <w:p w14:paraId="7E176978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87" w:type="dxa"/>
            <w:noWrap w:val="0"/>
            <w:vAlign w:val="center"/>
          </w:tcPr>
          <w:p w14:paraId="68C0BC3E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64" w:type="dxa"/>
            <w:noWrap w:val="0"/>
            <w:vAlign w:val="center"/>
          </w:tcPr>
          <w:p w14:paraId="4B1FF22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</w:t>
            </w:r>
          </w:p>
        </w:tc>
      </w:tr>
      <w:tr w14:paraId="4E8BB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810" w:type="dxa"/>
            <w:noWrap w:val="0"/>
            <w:vAlign w:val="center"/>
          </w:tcPr>
          <w:p w14:paraId="2F03A3A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合计</w:t>
            </w:r>
          </w:p>
        </w:tc>
        <w:tc>
          <w:tcPr>
            <w:tcW w:w="1302" w:type="dxa"/>
            <w:shd w:val="clear" w:color="auto" w:fill="auto"/>
            <w:noWrap w:val="0"/>
            <w:vAlign w:val="center"/>
          </w:tcPr>
          <w:p w14:paraId="5BD70349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282" w:type="dxa"/>
            <w:noWrap w:val="0"/>
            <w:vAlign w:val="center"/>
          </w:tcPr>
          <w:p w14:paraId="30D1768D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155" w:type="dxa"/>
            <w:noWrap w:val="0"/>
            <w:vAlign w:val="center"/>
          </w:tcPr>
          <w:p w14:paraId="23841E7C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053" w:type="dxa"/>
            <w:noWrap w:val="0"/>
            <w:vAlign w:val="center"/>
          </w:tcPr>
          <w:p w14:paraId="1DA5BB62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887" w:type="dxa"/>
            <w:noWrap w:val="0"/>
            <w:vAlign w:val="center"/>
          </w:tcPr>
          <w:p w14:paraId="446E054C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</w:t>
            </w:r>
          </w:p>
        </w:tc>
        <w:tc>
          <w:tcPr>
            <w:tcW w:w="964" w:type="dxa"/>
            <w:noWrap w:val="0"/>
            <w:vAlign w:val="center"/>
          </w:tcPr>
          <w:p w14:paraId="387FCC7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50</w:t>
            </w:r>
          </w:p>
        </w:tc>
      </w:tr>
    </w:tbl>
    <w:p w14:paraId="49F5F2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firstLine="422" w:firstLineChars="200"/>
        <w:jc w:val="both"/>
        <w:textAlignment w:val="auto"/>
        <w:rPr>
          <w:rFonts w:hint="default" w:ascii="Times New Roman" w:hAnsi="Times New Roman" w:eastAsia="黑体" w:cs="Times New Roman"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Times New Roman" w:eastAsia="宋体" w:cs="宋体"/>
          <w:b/>
          <w:bCs w:val="0"/>
          <w:color w:val="000000"/>
          <w:kern w:val="0"/>
          <w:sz w:val="21"/>
          <w:szCs w:val="21"/>
          <w:lang w:val="en-US" w:eastAsia="zh-CN" w:bidi="ar-SA"/>
        </w:rPr>
        <w:t>（四）课程考核评价标准</w:t>
      </w:r>
    </w:p>
    <w:tbl>
      <w:tblPr>
        <w:tblStyle w:val="3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739"/>
        <w:gridCol w:w="6921"/>
      </w:tblGrid>
      <w:tr w14:paraId="5CD6D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93" w:type="dxa"/>
            <w:noWrap w:val="0"/>
            <w:vAlign w:val="center"/>
          </w:tcPr>
          <w:p w14:paraId="2816A9D1">
            <w:pPr>
              <w:jc w:val="center"/>
              <w:rPr>
                <w:rFonts w:hint="eastAsia" w:eastAsia="宋体"/>
                <w:b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考核</w:t>
            </w:r>
          </w:p>
          <w:p w14:paraId="3C8A08FD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lang w:val="en-US" w:eastAsia="zh-CN"/>
              </w:rPr>
              <w:t>方式</w:t>
            </w:r>
          </w:p>
        </w:tc>
        <w:tc>
          <w:tcPr>
            <w:tcW w:w="739" w:type="dxa"/>
            <w:noWrap w:val="0"/>
            <w:vAlign w:val="center"/>
          </w:tcPr>
          <w:p w14:paraId="0A91F783">
            <w:pPr>
              <w:jc w:val="center"/>
              <w:rPr>
                <w:rFonts w:hint="eastAsia" w:eastAsia="宋体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highlight w:val="none"/>
                <w:lang w:val="en-US" w:eastAsia="zh-CN"/>
              </w:rPr>
              <w:t>考核</w:t>
            </w:r>
          </w:p>
          <w:p w14:paraId="6A49460D">
            <w:pPr>
              <w:jc w:val="center"/>
              <w:rPr>
                <w:rFonts w:hint="eastAsia" w:eastAsia="宋体"/>
                <w:b/>
                <w:sz w:val="18"/>
                <w:szCs w:val="18"/>
                <w:lang w:eastAsia="zh-CN"/>
              </w:rPr>
            </w:pPr>
            <w:r>
              <w:rPr>
                <w:rFonts w:hint="eastAsia" w:eastAsia="宋体"/>
                <w:b/>
                <w:sz w:val="18"/>
                <w:szCs w:val="18"/>
                <w:highlight w:val="none"/>
                <w:lang w:val="en-US" w:eastAsia="zh-CN"/>
              </w:rPr>
              <w:t>占比</w:t>
            </w:r>
          </w:p>
        </w:tc>
        <w:tc>
          <w:tcPr>
            <w:tcW w:w="6921" w:type="dxa"/>
            <w:noWrap w:val="0"/>
            <w:vAlign w:val="center"/>
          </w:tcPr>
          <w:p w14:paraId="7374D25C">
            <w:pPr>
              <w:jc w:val="center"/>
              <w:rPr>
                <w:rFonts w:hint="eastAsia" w:eastAsia="宋体"/>
                <w:sz w:val="18"/>
                <w:szCs w:val="18"/>
              </w:rPr>
            </w:pPr>
            <w:r>
              <w:rPr>
                <w:rFonts w:hint="eastAsia" w:eastAsia="宋体"/>
                <w:b/>
                <w:sz w:val="18"/>
                <w:szCs w:val="18"/>
              </w:rPr>
              <w:t>考核评价细则</w:t>
            </w:r>
          </w:p>
        </w:tc>
      </w:tr>
      <w:tr w14:paraId="2CF8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793" w:type="dxa"/>
            <w:noWrap w:val="0"/>
            <w:vAlign w:val="center"/>
          </w:tcPr>
          <w:p w14:paraId="1A541F18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作业</w:t>
            </w:r>
          </w:p>
        </w:tc>
        <w:tc>
          <w:tcPr>
            <w:tcW w:w="739" w:type="dxa"/>
            <w:noWrap w:val="0"/>
            <w:vAlign w:val="center"/>
          </w:tcPr>
          <w:p w14:paraId="7D5EB03B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%</w:t>
            </w:r>
          </w:p>
        </w:tc>
        <w:tc>
          <w:tcPr>
            <w:tcW w:w="6921" w:type="dxa"/>
            <w:noWrap w:val="0"/>
            <w:vAlign w:val="center"/>
          </w:tcPr>
          <w:p w14:paraId="403A24C6">
            <w:pPr>
              <w:widowControl/>
              <w:snapToGrid w:val="0"/>
              <w:spacing w:line="276" w:lineRule="auto"/>
              <w:jc w:val="left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1.主要考核学生对每章节知识点的复习、理解和掌握程度；</w:t>
            </w:r>
          </w:p>
          <w:p w14:paraId="20A15490">
            <w:pPr>
              <w:widowControl/>
              <w:snapToGrid w:val="0"/>
              <w:spacing w:line="276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2.每次作业按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分制单独评分，取各次成绩的平均值作为此环节的最终成绩。</w:t>
            </w:r>
          </w:p>
        </w:tc>
      </w:tr>
      <w:tr w14:paraId="72F3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793" w:type="dxa"/>
            <w:noWrap w:val="0"/>
            <w:vAlign w:val="center"/>
          </w:tcPr>
          <w:p w14:paraId="7C5AF6AB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实验</w:t>
            </w:r>
          </w:p>
        </w:tc>
        <w:tc>
          <w:tcPr>
            <w:tcW w:w="739" w:type="dxa"/>
            <w:noWrap w:val="0"/>
            <w:vAlign w:val="center"/>
          </w:tcPr>
          <w:p w14:paraId="78FEC705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ascii="宋体" w:hAnsi="Times New Roman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%</w:t>
            </w:r>
          </w:p>
        </w:tc>
        <w:tc>
          <w:tcPr>
            <w:tcW w:w="6921" w:type="dxa"/>
            <w:noWrap w:val="0"/>
            <w:vAlign w:val="center"/>
          </w:tcPr>
          <w:p w14:paraId="1DE0CCCB">
            <w:pPr>
              <w:widowControl/>
              <w:snapToGrid w:val="0"/>
              <w:spacing w:line="276" w:lineRule="auto"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1.根据每个实验的实验情况和实验报告质量单独评分，满分</w:t>
            </w: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分；</w:t>
            </w:r>
          </w:p>
          <w:p w14:paraId="6024CBEE">
            <w:pPr>
              <w:spacing w:line="240" w:lineRule="auto"/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取各次实验成绩的平均值作为此环节的最终成绩。</w:t>
            </w:r>
          </w:p>
        </w:tc>
      </w:tr>
      <w:tr w14:paraId="6ED4B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93" w:type="dxa"/>
            <w:noWrap w:val="0"/>
            <w:vAlign w:val="center"/>
          </w:tcPr>
          <w:p w14:paraId="1D046BCF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项目</w:t>
            </w:r>
          </w:p>
          <w:p w14:paraId="73071DE4">
            <w:pPr>
              <w:widowControl/>
              <w:snapToGrid w:val="0"/>
              <w:spacing w:line="276" w:lineRule="auto"/>
              <w:jc w:val="center"/>
              <w:rPr>
                <w:rFonts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研究</w:t>
            </w:r>
          </w:p>
        </w:tc>
        <w:tc>
          <w:tcPr>
            <w:tcW w:w="739" w:type="dxa"/>
            <w:noWrap w:val="0"/>
            <w:vAlign w:val="center"/>
          </w:tcPr>
          <w:p w14:paraId="031DDBA3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0%</w:t>
            </w:r>
          </w:p>
        </w:tc>
        <w:tc>
          <w:tcPr>
            <w:tcW w:w="6921" w:type="dxa"/>
            <w:noWrap w:val="0"/>
            <w:vAlign w:val="center"/>
          </w:tcPr>
          <w:p w14:paraId="28B4F6FD">
            <w:pPr>
              <w:widowControl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1.考查应用所学知识及应用先进设计工具解决工程问题的实践能力、口头和文字表达能力以及团队合作能力；</w:t>
            </w:r>
          </w:p>
          <w:p w14:paraId="7003C93D">
            <w:pPr>
              <w:spacing w:line="240" w:lineRule="auto"/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教师根据选题、设计文稿、程序、报告和答辩情况评分。</w:t>
            </w:r>
          </w:p>
        </w:tc>
      </w:tr>
      <w:tr w14:paraId="7B44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93" w:type="dxa"/>
            <w:noWrap w:val="0"/>
            <w:vAlign w:val="center"/>
          </w:tcPr>
          <w:p w14:paraId="434AC675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阶段</w:t>
            </w:r>
          </w:p>
          <w:p w14:paraId="3A9314F9">
            <w:pPr>
              <w:widowControl/>
              <w:snapToGrid w:val="0"/>
              <w:spacing w:line="276" w:lineRule="auto"/>
              <w:jc w:val="center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测试</w:t>
            </w:r>
          </w:p>
        </w:tc>
        <w:tc>
          <w:tcPr>
            <w:tcW w:w="739" w:type="dxa"/>
            <w:noWrap w:val="0"/>
            <w:vAlign w:val="center"/>
          </w:tcPr>
          <w:p w14:paraId="0592F554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20%</w:t>
            </w:r>
          </w:p>
        </w:tc>
        <w:tc>
          <w:tcPr>
            <w:tcW w:w="6921" w:type="dxa"/>
            <w:noWrap w:val="0"/>
            <w:vAlign w:val="center"/>
          </w:tcPr>
          <w:p w14:paraId="358D3E31">
            <w:pPr>
              <w:widowControl/>
              <w:snapToGrid w:val="0"/>
              <w:spacing w:line="276" w:lineRule="auto"/>
              <w:jc w:val="left"/>
              <w:rPr>
                <w:rFonts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1.结合教学进度安排阶段考试，考查学生对相关知识的掌握程度；</w:t>
            </w:r>
          </w:p>
          <w:p w14:paraId="5EE1F4BD">
            <w:pPr>
              <w:spacing w:line="240" w:lineRule="auto"/>
              <w:jc w:val="both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阶段考试成绩以百分计，乘以其在总评成绩中所占的比例计入总评成绩。</w:t>
            </w:r>
          </w:p>
        </w:tc>
      </w:tr>
      <w:tr w14:paraId="0EAAB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793" w:type="dxa"/>
            <w:shd w:val="clear" w:color="auto" w:fill="auto"/>
            <w:noWrap w:val="0"/>
            <w:vAlign w:val="center"/>
          </w:tcPr>
          <w:p w14:paraId="5FD43E86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期末</w:t>
            </w:r>
          </w:p>
          <w:p w14:paraId="721374AA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考试</w:t>
            </w:r>
          </w:p>
        </w:tc>
        <w:tc>
          <w:tcPr>
            <w:tcW w:w="739" w:type="dxa"/>
            <w:shd w:val="clear" w:color="auto" w:fill="auto"/>
            <w:noWrap w:val="0"/>
            <w:vAlign w:val="center"/>
          </w:tcPr>
          <w:p w14:paraId="602E692D">
            <w:pPr>
              <w:widowControl/>
              <w:snapToGrid w:val="0"/>
              <w:spacing w:line="276" w:lineRule="auto"/>
              <w:jc w:val="center"/>
              <w:rPr>
                <w:rFonts w:hint="eastAsia" w:ascii="宋体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5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%</w:t>
            </w:r>
          </w:p>
        </w:tc>
        <w:tc>
          <w:tcPr>
            <w:tcW w:w="6921" w:type="dxa"/>
            <w:shd w:val="clear" w:color="auto" w:fill="auto"/>
            <w:noWrap w:val="0"/>
            <w:vAlign w:val="center"/>
          </w:tcPr>
          <w:p w14:paraId="3D24583B">
            <w:pPr>
              <w:widowControl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1.卷面成绩</w:t>
            </w:r>
            <w:r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100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分，以卷面成绩乘以其在总评成绩中所占的比例计入课程总评成绩；</w:t>
            </w:r>
          </w:p>
          <w:p w14:paraId="423AC037">
            <w:pPr>
              <w:widowControl/>
              <w:snapToGrid w:val="0"/>
              <w:spacing w:line="276" w:lineRule="auto"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  <w:t>2.主要考核平面连杆机构设计、凸轮机构设计、齿轮机构设计、齿轮系传动比计算、机构自由度计算，机构运动方案设计、机构平衡与飞轮转动惯量计算等内容。考试题型为：分析题、作图题、机构设计题、计算题和简答题等。</w:t>
            </w:r>
          </w:p>
        </w:tc>
      </w:tr>
      <w:tr w14:paraId="0D08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453" w:type="dxa"/>
            <w:gridSpan w:val="3"/>
            <w:noWrap w:val="0"/>
            <w:vAlign w:val="center"/>
          </w:tcPr>
          <w:p w14:paraId="241E3CA9">
            <w:pPr>
              <w:spacing w:line="360" w:lineRule="auto"/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/>
                <w:sz w:val="18"/>
                <w:szCs w:val="18"/>
                <w:lang w:val="en-US" w:eastAsia="zh-CN"/>
              </w:rPr>
              <w:t>合计占比：100%</w:t>
            </w:r>
          </w:p>
        </w:tc>
      </w:tr>
    </w:tbl>
    <w:p w14:paraId="76CCA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default" w:ascii="黑体" w:hAnsi="Times New Roman" w:eastAsia="黑体" w:cs="Times New Roman"/>
          <w:color w:val="000000"/>
          <w:kern w:val="2"/>
          <w:sz w:val="24"/>
          <w:szCs w:val="24"/>
          <w:lang w:val="en-US" w:eastAsia="zh-CN" w:bidi="ar-SA"/>
        </w:rPr>
      </w:pPr>
    </w:p>
    <w:p w14:paraId="222CB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480" w:firstLineChars="200"/>
        <w:textAlignment w:val="auto"/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黑体" w:eastAsia="黑体" w:cs="Times New Roman"/>
          <w:color w:val="auto"/>
          <w:kern w:val="2"/>
          <w:sz w:val="24"/>
          <w:szCs w:val="24"/>
          <w:lang w:val="en-US" w:eastAsia="zh-CN" w:bidi="ar-SA"/>
        </w:rPr>
        <w:t>九、</w:t>
      </w: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持续改进</w:t>
      </w:r>
    </w:p>
    <w:p w14:paraId="15D304E0">
      <w:pPr>
        <w:adjustRightInd w:val="0"/>
        <w:ind w:firstLine="411" w:firstLineChars="196"/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本课程根据学生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lang w:val="en-US" w:eastAsia="zh-CN" w:bidi="ar-SA"/>
        </w:rPr>
        <w:t>作业、实验、</w:t>
      </w:r>
      <w:r>
        <w:rPr>
          <w:rFonts w:hint="eastAsia" w:ascii="宋体" w:hAnsi="Times New Roman" w:eastAsia="宋体" w:cs="宋体"/>
          <w:b/>
          <w:bCs/>
          <w:color w:val="auto"/>
          <w:kern w:val="0"/>
          <w:szCs w:val="21"/>
          <w:lang w:val="en-US" w:eastAsia="zh-CN"/>
        </w:rPr>
        <w:t>项目研究、阶段考试和期末考试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情况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【加粗内容需与该课程的考核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方式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一致】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lang w:val="en-US" w:eastAsia="zh-CN" w:bidi="ar-SA"/>
        </w:rPr>
        <w:t>，学生、教学督导等方面的反馈，及时对教学中不足之处进行改进，并在下一轮课程教学中改进提高，确保相应毕业要求指标点达成。</w:t>
      </w:r>
    </w:p>
    <w:p w14:paraId="578C6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360" w:lineRule="auto"/>
        <w:ind w:firstLine="480" w:firstLineChars="200"/>
        <w:textAlignment w:val="auto"/>
        <w:rPr>
          <w:rFonts w:hint="eastAsia" w:hAnsi="宋体" w:eastAsia="宋体"/>
          <w:color w:val="auto"/>
          <w:highlight w:val="yellow"/>
        </w:rPr>
      </w:pPr>
      <w:r>
        <w:rPr>
          <w:rFonts w:hint="eastAsia" w:ascii="黑体" w:hAnsi="Times New Roman" w:eastAsia="黑体" w:cs="Times New Roman"/>
          <w:color w:val="auto"/>
          <w:kern w:val="2"/>
          <w:sz w:val="24"/>
          <w:szCs w:val="24"/>
          <w:lang w:val="en-US" w:eastAsia="zh-CN" w:bidi="ar-SA"/>
        </w:rPr>
        <w:t>十、教材与教学参考资源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【包括教材、参考书目（原则上应为近5年内出版或再版）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相关阅读材料、网络在线资源等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，根据实际情况选填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】</w:t>
      </w:r>
    </w:p>
    <w:p w14:paraId="01C6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eastAsia="宋体" w:cs="宋体"/>
          <w:i/>
          <w:iCs/>
          <w:color w:val="auto"/>
          <w:lang w:val="en-US" w:eastAsia="zh-CN"/>
        </w:rPr>
      </w:pPr>
      <w:r>
        <w:rPr>
          <w:rFonts w:hint="eastAsia" w:eastAsia="宋体" w:cs="宋体"/>
          <w:i/>
          <w:iCs/>
          <w:color w:val="auto"/>
          <w:lang w:val="en-US" w:eastAsia="zh-CN"/>
        </w:rPr>
        <w:t>示例：</w:t>
      </w:r>
    </w:p>
    <w:p w14:paraId="2FD76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1.教材</w:t>
      </w:r>
    </w:p>
    <w:p w14:paraId="15FA5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[1]毛平淮. 互换性与测量技术基础(第3版) [M]. 北京：机械工业出版社，20</w:t>
      </w:r>
      <w:r>
        <w:rPr>
          <w:rFonts w:hint="eastAsia" w:eastAsia="宋体" w:cs="宋体"/>
          <w:color w:val="auto"/>
          <w:lang w:val="en-US" w:eastAsia="zh-CN"/>
        </w:rPr>
        <w:t>20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.</w:t>
      </w:r>
    </w:p>
    <w:p w14:paraId="4E4C2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……</w:t>
      </w:r>
    </w:p>
    <w:p w14:paraId="435C8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2.主要参考书目</w:t>
      </w:r>
    </w:p>
    <w:p w14:paraId="43C1C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[1]廖念钊. 互换性与技术测量[M]. 北京：中国计量出版社，20</w:t>
      </w:r>
      <w:r>
        <w:rPr>
          <w:rFonts w:hint="eastAsia" w:eastAsia="宋体" w:cs="宋体"/>
          <w:color w:val="auto"/>
          <w:lang w:val="en-US" w:eastAsia="zh-CN"/>
        </w:rPr>
        <w:t>22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.</w:t>
      </w:r>
    </w:p>
    <w:p w14:paraId="20095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……</w:t>
      </w:r>
    </w:p>
    <w:p w14:paraId="17C3E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3.数字教学资源</w:t>
      </w:r>
    </w:p>
    <w:p w14:paraId="56127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</w:pPr>
      <w:r>
        <w:rPr>
          <w:rFonts w:hint="eastAsia" w:eastAsia="宋体" w:cs="宋体"/>
          <w:color w:val="auto"/>
          <w:lang w:val="en-US" w:eastAsia="zh-CN"/>
        </w:rPr>
        <w:t>（1）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自建线上课程资源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【线上课程和混合式课程必须</w:t>
      </w:r>
      <w:r>
        <w:rPr>
          <w:rFonts w:hint="eastAsia" w:eastAsia="宋体" w:cs="Times New Roman"/>
          <w:b w:val="0"/>
          <w:bCs/>
          <w:color w:val="auto"/>
          <w:szCs w:val="21"/>
          <w:lang w:val="en-US" w:eastAsia="zh-CN"/>
        </w:rPr>
        <w:t>包含</w:t>
      </w:r>
      <w:r>
        <w:rPr>
          <w:rFonts w:hint="eastAsia" w:ascii="Times New Roman" w:hAnsi="Times New Roman" w:eastAsia="宋体" w:cs="Times New Roman"/>
          <w:b w:val="0"/>
          <w:bCs/>
          <w:color w:val="auto"/>
          <w:szCs w:val="21"/>
          <w:lang w:val="en-US" w:eastAsia="zh-CN"/>
        </w:rPr>
        <w:t>覆盖所有教学内容的线上教学资源】</w:t>
      </w:r>
    </w:p>
    <w:p w14:paraId="7AB6C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中国大学慕课，《***》课程， https://www.icourse163.org/course/HHU-1001755159；</w:t>
      </w:r>
    </w:p>
    <w:p w14:paraId="3D6217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eastAsia="宋体" w:cs="宋体"/>
          <w:color w:val="auto"/>
          <w:lang w:val="en-US" w:eastAsia="zh-CN"/>
        </w:rPr>
        <w:t>（2）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引用线上教学资源</w:t>
      </w:r>
    </w:p>
    <w:p w14:paraId="6DEAB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eastAsia="宋体" w:cs="宋体"/>
          <w:color w:val="auto"/>
          <w:lang w:val="en-US" w:eastAsia="zh-CN"/>
        </w:rPr>
        <w:t>学银在线</w:t>
      </w:r>
      <w:r>
        <w:rPr>
          <w:rFonts w:hint="eastAsia" w:ascii="Times New Roman" w:hAnsi="Times New Roman" w:eastAsia="宋体" w:cs="宋体"/>
          <w:color w:val="auto"/>
          <w:lang w:val="en-US" w:eastAsia="zh-CN"/>
        </w:rPr>
        <w:t>，《***》课程， https://www.icourse163.org/course/HHU-1001755159</w:t>
      </w:r>
      <w:r>
        <w:rPr>
          <w:rFonts w:hint="eastAsia" w:eastAsia="宋体" w:cs="宋体"/>
          <w:color w:val="auto"/>
          <w:lang w:val="en-US" w:eastAsia="zh-CN"/>
        </w:rPr>
        <w:t>；</w:t>
      </w:r>
    </w:p>
    <w:p w14:paraId="47D74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Times New Roman" w:hAnsi="Times New Roman" w:eastAsia="宋体" w:cs="宋体"/>
          <w:color w:val="auto"/>
          <w:lang w:val="en-US" w:eastAsia="zh-CN"/>
        </w:rPr>
      </w:pPr>
      <w:r>
        <w:rPr>
          <w:rFonts w:hint="eastAsia" w:ascii="Times New Roman" w:hAnsi="Times New Roman" w:eastAsia="宋体" w:cs="宋体"/>
          <w:color w:val="auto"/>
          <w:lang w:val="en-US" w:eastAsia="zh-CN"/>
        </w:rPr>
        <w:t>4.其他参考资料</w:t>
      </w:r>
    </w:p>
    <w:p w14:paraId="2E5678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sectPr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  <w:bookmarkStart w:id="0" w:name="_GoBack"/>
      <w:bookmarkEnd w:id="0"/>
    </w:p>
    <w:p w14:paraId="2EAE67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E5262"/>
    <w:rsid w:val="3FEE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2026-05-25T06:07:00Z</dcterms:created>
  <dc:creator>香菜小狗子</dc:creator>
  <cp:lastModifiedBy>香菜小狗子</cp:lastModifiedBy>
  <dcterms:modified xsi:type="dcterms:W3CDTF">2026-05-25T06:08:54Z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711050AADBB1452A893933DD5DD4E9C5_11</vt:lpwstr>
  </property>
  <property fmtid="{D5CDD505-2E9C-101B-9397-08002B2CF9AE}" pid="4" name="KSOTemplateDocerSaveRecord">
    <vt:lpwstr>eyJoZGlkIjoiMGJjNDc3NzRlYzI4MzQ5MjFlOTEwMTE4ZGIyYzQ0MTYiLCJ1c2VySWQiOiIzNzgzMTQxNDUifQ==</vt:lpwstr>
  </property>
</Properties>
</file>